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0C829F" w14:textId="7D1012F4" w:rsidR="00442B78" w:rsidRPr="00641BDD" w:rsidRDefault="00C41A96" w:rsidP="00E51C0E">
      <w:pPr>
        <w:spacing w:line="360" w:lineRule="auto"/>
        <w:rPr>
          <w:b/>
          <w:sz w:val="30"/>
          <w:szCs w:val="30"/>
        </w:rPr>
      </w:pPr>
      <w:r w:rsidRPr="000F1F42">
        <w:rPr>
          <w:b/>
          <w:sz w:val="30"/>
          <w:szCs w:val="30"/>
        </w:rPr>
        <w:t>Presseinformation</w:t>
      </w:r>
    </w:p>
    <w:p w14:paraId="44417882" w14:textId="77777777" w:rsidR="000456C4" w:rsidRDefault="000456C4" w:rsidP="00E51C0E">
      <w:pPr>
        <w:tabs>
          <w:tab w:val="left" w:pos="1979"/>
        </w:tabs>
        <w:spacing w:line="360" w:lineRule="auto"/>
        <w:rPr>
          <w:b/>
          <w:color w:val="0050A0" w:themeColor="background2"/>
          <w:sz w:val="26"/>
          <w:szCs w:val="26"/>
        </w:rPr>
      </w:pPr>
    </w:p>
    <w:p w14:paraId="1EB8DB89" w14:textId="417A7540" w:rsidR="000456C4" w:rsidRPr="00641BDD" w:rsidRDefault="0013427E" w:rsidP="00E51C0E">
      <w:pPr>
        <w:tabs>
          <w:tab w:val="left" w:pos="1979"/>
        </w:tabs>
        <w:spacing w:line="360" w:lineRule="auto"/>
        <w:rPr>
          <w:b/>
          <w:color w:val="0050A0" w:themeColor="background2"/>
          <w:sz w:val="26"/>
          <w:szCs w:val="26"/>
        </w:rPr>
      </w:pPr>
      <w:r w:rsidRPr="0013427E">
        <w:rPr>
          <w:b/>
          <w:color w:val="0050A0" w:themeColor="background2"/>
          <w:sz w:val="26"/>
          <w:szCs w:val="26"/>
        </w:rPr>
        <w:t>Sicheres und präzises Handling von Batterie-Rundzellen</w:t>
      </w:r>
    </w:p>
    <w:p w14:paraId="34CAD51C" w14:textId="77777777" w:rsidR="000456C4" w:rsidRDefault="000456C4" w:rsidP="00E51C0E">
      <w:pPr>
        <w:tabs>
          <w:tab w:val="left" w:pos="1979"/>
        </w:tabs>
        <w:spacing w:line="360" w:lineRule="auto"/>
        <w:rPr>
          <w:sz w:val="26"/>
          <w:szCs w:val="26"/>
        </w:rPr>
      </w:pPr>
    </w:p>
    <w:p w14:paraId="645E71CE" w14:textId="6BC8C1AB" w:rsidR="000456C4" w:rsidRPr="00B5029E" w:rsidRDefault="005973DF" w:rsidP="00E51C0E">
      <w:pPr>
        <w:tabs>
          <w:tab w:val="left" w:pos="1979"/>
        </w:tabs>
        <w:spacing w:line="360" w:lineRule="auto"/>
        <w:rPr>
          <w:sz w:val="26"/>
          <w:szCs w:val="26"/>
        </w:rPr>
      </w:pPr>
      <w:r w:rsidRPr="00B5029E">
        <w:rPr>
          <w:sz w:val="26"/>
          <w:szCs w:val="26"/>
        </w:rPr>
        <w:t>Mit dem</w:t>
      </w:r>
      <w:r w:rsidR="0013427E" w:rsidRPr="00B5029E">
        <w:rPr>
          <w:sz w:val="26"/>
          <w:szCs w:val="26"/>
        </w:rPr>
        <w:t xml:space="preserve"> neue</w:t>
      </w:r>
      <w:r w:rsidRPr="00B5029E">
        <w:rPr>
          <w:sz w:val="26"/>
          <w:szCs w:val="26"/>
        </w:rPr>
        <w:t>n</w:t>
      </w:r>
      <w:r w:rsidR="0013427E" w:rsidRPr="00B5029E">
        <w:rPr>
          <w:sz w:val="26"/>
          <w:szCs w:val="26"/>
        </w:rPr>
        <w:t xml:space="preserve"> Magnetgreifer SGM-SV-</w:t>
      </w:r>
      <w:r w:rsidR="00E25C01">
        <w:rPr>
          <w:sz w:val="26"/>
          <w:szCs w:val="26"/>
        </w:rPr>
        <w:t>BY</w:t>
      </w:r>
      <w:r w:rsidRPr="00B5029E">
        <w:rPr>
          <w:sz w:val="26"/>
          <w:szCs w:val="26"/>
        </w:rPr>
        <w:t xml:space="preserve"> </w:t>
      </w:r>
      <w:r w:rsidR="00D40FE2" w:rsidRPr="00B5029E">
        <w:rPr>
          <w:sz w:val="26"/>
          <w:szCs w:val="26"/>
        </w:rPr>
        <w:t>präsentiert</w:t>
      </w:r>
      <w:r w:rsidRPr="00B5029E">
        <w:rPr>
          <w:sz w:val="26"/>
          <w:szCs w:val="26"/>
        </w:rPr>
        <w:t xml:space="preserve"> Schmalz</w:t>
      </w:r>
      <w:r w:rsidR="00D40FE2" w:rsidRPr="00B5029E">
        <w:rPr>
          <w:sz w:val="26"/>
          <w:szCs w:val="26"/>
        </w:rPr>
        <w:t xml:space="preserve"> </w:t>
      </w:r>
      <w:r w:rsidR="0013427E" w:rsidRPr="00B5029E">
        <w:rPr>
          <w:sz w:val="26"/>
          <w:szCs w:val="26"/>
        </w:rPr>
        <w:t xml:space="preserve">eine Lösung für die </w:t>
      </w:r>
      <w:r w:rsidR="00B5029E" w:rsidRPr="00B5029E">
        <w:rPr>
          <w:sz w:val="26"/>
          <w:szCs w:val="26"/>
        </w:rPr>
        <w:t xml:space="preserve">akkurate </w:t>
      </w:r>
      <w:r w:rsidR="0013427E" w:rsidRPr="00B5029E">
        <w:rPr>
          <w:sz w:val="26"/>
          <w:szCs w:val="26"/>
        </w:rPr>
        <w:t xml:space="preserve">Handhabung von ungeladenen und geladenen </w:t>
      </w:r>
      <w:r w:rsidR="00D40FE2" w:rsidRPr="00B5029E">
        <w:rPr>
          <w:sz w:val="26"/>
          <w:szCs w:val="26"/>
        </w:rPr>
        <w:t>Batterie-</w:t>
      </w:r>
      <w:r w:rsidR="0013427E" w:rsidRPr="00B5029E">
        <w:rPr>
          <w:sz w:val="26"/>
          <w:szCs w:val="26"/>
        </w:rPr>
        <w:t xml:space="preserve">Rundzellen mit einem Durchmesser von 46 </w:t>
      </w:r>
      <w:r w:rsidR="00D40FE2" w:rsidRPr="00B5029E">
        <w:rPr>
          <w:sz w:val="26"/>
          <w:szCs w:val="26"/>
        </w:rPr>
        <w:t>Millimetern</w:t>
      </w:r>
      <w:r w:rsidR="0013427E" w:rsidRPr="00B5029E">
        <w:rPr>
          <w:sz w:val="26"/>
          <w:szCs w:val="26"/>
        </w:rPr>
        <w:t xml:space="preserve">. </w:t>
      </w:r>
      <w:r w:rsidR="00E3479B" w:rsidRPr="00B5029E">
        <w:rPr>
          <w:sz w:val="26"/>
          <w:szCs w:val="26"/>
        </w:rPr>
        <w:t>Der Greifer garantiert auch bei Energieausfall eine hohe Prozesssicherheit.</w:t>
      </w:r>
    </w:p>
    <w:p w14:paraId="1640D57D" w14:textId="77777777" w:rsidR="00C41A96" w:rsidRPr="00B5029E" w:rsidRDefault="00C41A96" w:rsidP="00E51C0E">
      <w:pPr>
        <w:tabs>
          <w:tab w:val="left" w:pos="1979"/>
        </w:tabs>
        <w:spacing w:line="360" w:lineRule="auto"/>
        <w:rPr>
          <w:b/>
          <w:sz w:val="20"/>
          <w:szCs w:val="20"/>
        </w:rPr>
      </w:pPr>
    </w:p>
    <w:p w14:paraId="111E2A59" w14:textId="29CAC6EE" w:rsidR="0013427E" w:rsidRPr="00B5029E" w:rsidRDefault="0013427E" w:rsidP="0013427E">
      <w:pPr>
        <w:spacing w:line="360" w:lineRule="auto"/>
      </w:pPr>
      <w:r w:rsidRPr="00B5029E">
        <w:t>In der Fertigung von Batteriezellen sind Präzision, Sicherheit und Effizienz entscheidend. Die exakte Positionierung und Handhabung der Zellen, die Vermeidung von Kurzschlüssen und eine prozesssichere Automation sind unerlässlich für eine hohe Leistungsfähigkeit und Zuverlässigkeit der Batterien.</w:t>
      </w:r>
    </w:p>
    <w:p w14:paraId="5DD0288D" w14:textId="77777777" w:rsidR="0013427E" w:rsidRPr="00B5029E" w:rsidRDefault="0013427E" w:rsidP="0013427E">
      <w:pPr>
        <w:spacing w:line="360" w:lineRule="auto"/>
      </w:pPr>
    </w:p>
    <w:p w14:paraId="15B08024" w14:textId="02CFD543" w:rsidR="0013427E" w:rsidRPr="00B5029E" w:rsidRDefault="0013427E" w:rsidP="00E3479B">
      <w:pPr>
        <w:spacing w:line="360" w:lineRule="auto"/>
      </w:pPr>
      <w:r w:rsidRPr="00B5029E">
        <w:t>Schmalz hat speziell für das Handling von Batterie-Rundzellen den neuen Magnetgreifer SGM-SV-</w:t>
      </w:r>
      <w:r w:rsidR="00E25C01">
        <w:t>BY</w:t>
      </w:r>
      <w:r w:rsidRPr="00B5029E">
        <w:t xml:space="preserve"> entwickelt. Er </w:t>
      </w:r>
      <w:r w:rsidR="0097239C">
        <w:t>stellt</w:t>
      </w:r>
      <w:r w:rsidR="0097239C" w:rsidRPr="00B5029E">
        <w:t xml:space="preserve"> </w:t>
      </w:r>
      <w:r w:rsidRPr="00B5029E">
        <w:t xml:space="preserve">auch in schnellen Pick-and-Place-Prozessen </w:t>
      </w:r>
      <w:r w:rsidR="00E25C01">
        <w:t xml:space="preserve">durch seine hohen Haltekräfte </w:t>
      </w:r>
      <w:r w:rsidRPr="00B5029E">
        <w:t>eine</w:t>
      </w:r>
      <w:r w:rsidR="007804EC" w:rsidRPr="00B5029E">
        <w:t xml:space="preserve"> verlässliche </w:t>
      </w:r>
      <w:r w:rsidR="00E25C01">
        <w:t xml:space="preserve">Handhabung </w:t>
      </w:r>
      <w:r w:rsidR="0097239C">
        <w:t>sicher</w:t>
      </w:r>
      <w:r w:rsidRPr="00B5029E">
        <w:t xml:space="preserve">. </w:t>
      </w:r>
      <w:r w:rsidR="00A8530C" w:rsidRPr="00B5029E">
        <w:t>Der</w:t>
      </w:r>
      <w:r w:rsidRPr="00B5029E">
        <w:t xml:space="preserve"> bistabile Permanentmagnet </w:t>
      </w:r>
      <w:r w:rsidR="007804EC" w:rsidRPr="00B5029E">
        <w:t>behält</w:t>
      </w:r>
      <w:r w:rsidRPr="00B5029E">
        <w:t xml:space="preserve"> selbst bei einem Energieausfall </w:t>
      </w:r>
      <w:r w:rsidR="007804EC" w:rsidRPr="00B5029E">
        <w:t>die</w:t>
      </w:r>
      <w:r w:rsidR="00E3479B" w:rsidRPr="00B5029E">
        <w:t xml:space="preserve"> Magnetstellung Greifen </w:t>
      </w:r>
      <w:r w:rsidR="00402069">
        <w:t>oder</w:t>
      </w:r>
      <w:r w:rsidR="00402069" w:rsidRPr="00B5029E">
        <w:t xml:space="preserve"> </w:t>
      </w:r>
      <w:r w:rsidR="00E3479B" w:rsidRPr="00B5029E">
        <w:t xml:space="preserve">Ablegen </w:t>
      </w:r>
      <w:r w:rsidR="007804EC" w:rsidRPr="00B5029E">
        <w:t>bei</w:t>
      </w:r>
      <w:r w:rsidR="00E3479B" w:rsidRPr="00B5029E">
        <w:t xml:space="preserve">. </w:t>
      </w:r>
      <w:r w:rsidR="00A8530C" w:rsidRPr="00B5029E">
        <w:t>Dadurch</w:t>
      </w:r>
      <w:r w:rsidRPr="00B5029E">
        <w:t xml:space="preserve"> minimier</w:t>
      </w:r>
      <w:r w:rsidR="00A8530C" w:rsidRPr="00B5029E">
        <w:t>en Anwender</w:t>
      </w:r>
      <w:r w:rsidRPr="00B5029E">
        <w:t xml:space="preserve"> das Risiko von Zellverlusten und erhöh</w:t>
      </w:r>
      <w:r w:rsidR="00A8530C" w:rsidRPr="00B5029E">
        <w:t>en</w:t>
      </w:r>
      <w:r w:rsidRPr="00B5029E">
        <w:t xml:space="preserve"> die Betriebssicherheit erheblich.</w:t>
      </w:r>
      <w:r w:rsidR="00E3479B" w:rsidRPr="00B5029E">
        <w:t xml:space="preserve"> </w:t>
      </w:r>
    </w:p>
    <w:p w14:paraId="2F30B388" w14:textId="77777777" w:rsidR="0013427E" w:rsidRPr="00B5029E" w:rsidRDefault="0013427E" w:rsidP="0013427E">
      <w:pPr>
        <w:spacing w:line="360" w:lineRule="auto"/>
      </w:pPr>
    </w:p>
    <w:p w14:paraId="426D2818" w14:textId="7AEDF8DC" w:rsidR="007804EC" w:rsidRPr="00B5029E" w:rsidRDefault="007804EC" w:rsidP="007804EC">
      <w:pPr>
        <w:spacing w:line="360" w:lineRule="auto"/>
      </w:pPr>
      <w:r w:rsidRPr="00B5029E">
        <w:t xml:space="preserve">Der Magnetgreifer ist für die Handhabung von Rundzellen mit einem Durchmesser von 46 Millimetern und unterschiedlichen Höhen ausgelegt. Er kann die </w:t>
      </w:r>
      <w:r w:rsidR="0066488B" w:rsidRPr="00B5029E">
        <w:t>Werkstücke</w:t>
      </w:r>
      <w:r w:rsidRPr="00B5029E">
        <w:t xml:space="preserve"> sowohl an der Ober- als auch an der Unterseite aufnehmen. Dadurch ist er in der Zellproduktion und in der Modulmontage flexibel einsetzbar. </w:t>
      </w:r>
    </w:p>
    <w:p w14:paraId="2F53B96A" w14:textId="77777777" w:rsidR="0013427E" w:rsidRPr="00B5029E" w:rsidRDefault="0013427E" w:rsidP="0013427E">
      <w:pPr>
        <w:spacing w:line="360" w:lineRule="auto"/>
      </w:pPr>
    </w:p>
    <w:p w14:paraId="3E9AECA7" w14:textId="07F97351" w:rsidR="00B5029E" w:rsidRPr="00B5029E" w:rsidRDefault="00B5029E" w:rsidP="0013427E">
      <w:pPr>
        <w:spacing w:line="360" w:lineRule="auto"/>
        <w:rPr>
          <w:b/>
          <w:bCs/>
        </w:rPr>
      </w:pPr>
      <w:r w:rsidRPr="00B5029E">
        <w:rPr>
          <w:b/>
          <w:bCs/>
        </w:rPr>
        <w:t>Exakte Positionierung</w:t>
      </w:r>
    </w:p>
    <w:p w14:paraId="4A317D50" w14:textId="60E6A0E0" w:rsidR="0066488B" w:rsidRDefault="0013427E" w:rsidP="0066488B">
      <w:pPr>
        <w:spacing w:line="360" w:lineRule="auto"/>
      </w:pPr>
      <w:r w:rsidRPr="00B5029E">
        <w:t>Die Greifelemente des SGM-SV-</w:t>
      </w:r>
      <w:r w:rsidR="00E25C01">
        <w:t>BY</w:t>
      </w:r>
      <w:r w:rsidRPr="00B5029E">
        <w:t xml:space="preserve"> bestehen aus einem speziellen isolierenden Kunststoff. </w:t>
      </w:r>
      <w:r w:rsidR="0097239C">
        <w:t>Das erlaubt</w:t>
      </w:r>
      <w:r w:rsidR="0097239C" w:rsidRPr="00B5029E">
        <w:t xml:space="preserve"> </w:t>
      </w:r>
      <w:r w:rsidR="0097239C">
        <w:t>einen</w:t>
      </w:r>
      <w:r w:rsidRPr="00B5029E">
        <w:t xml:space="preserve"> berührungssichere</w:t>
      </w:r>
      <w:r w:rsidR="0097239C">
        <w:t>n</w:t>
      </w:r>
      <w:r w:rsidRPr="00B5029E">
        <w:t xml:space="preserve"> Kontakt</w:t>
      </w:r>
      <w:r w:rsidR="00491792">
        <w:t xml:space="preserve"> </w:t>
      </w:r>
      <w:r w:rsidR="0097239C">
        <w:t>und reduziert</w:t>
      </w:r>
      <w:r w:rsidR="0097239C" w:rsidRPr="00B5029E">
        <w:t xml:space="preserve"> </w:t>
      </w:r>
      <w:r w:rsidRPr="00B5029E">
        <w:t xml:space="preserve">die Gefahr von Kurzschlüssen beim Umgang mit geladenen Zellen erheblich. </w:t>
      </w:r>
      <w:r w:rsidR="0066488B" w:rsidRPr="00B5029E">
        <w:t xml:space="preserve">Führungszinnen sorgen für eine exakte Positionierung der Zellen. Diese hohe Präzision beim Greifen ist besonders wichtig, um </w:t>
      </w:r>
      <w:r w:rsidR="0097239C">
        <w:t>die Komponenten</w:t>
      </w:r>
      <w:r w:rsidR="0097239C" w:rsidRPr="00B5029E">
        <w:t xml:space="preserve"> </w:t>
      </w:r>
      <w:r w:rsidR="0066488B" w:rsidRPr="00B5029E">
        <w:t xml:space="preserve">in nachfolgenden Produktionsschritten korrekt weiterverarbeiten zu können. </w:t>
      </w:r>
      <w:r w:rsidR="00E3479B" w:rsidRPr="00B5029E">
        <w:t xml:space="preserve">Die Greifelemente lassen sich </w:t>
      </w:r>
      <w:r w:rsidR="0097239C">
        <w:t>einfach</w:t>
      </w:r>
      <w:r w:rsidR="0097239C" w:rsidRPr="00B5029E">
        <w:t xml:space="preserve"> </w:t>
      </w:r>
      <w:r w:rsidR="00E3479B" w:rsidRPr="00B5029E">
        <w:t>austauschen und sind mit einer unterschiedlichen Anzahl von Führungszinnen verfügbar.</w:t>
      </w:r>
      <w:r w:rsidR="0066488B" w:rsidRPr="00B5029E">
        <w:t xml:space="preserve"> </w:t>
      </w:r>
    </w:p>
    <w:p w14:paraId="2488216F" w14:textId="77777777" w:rsidR="00B5029E" w:rsidRPr="00B5029E" w:rsidRDefault="00B5029E" w:rsidP="0066488B">
      <w:pPr>
        <w:spacing w:line="360" w:lineRule="auto"/>
      </w:pPr>
    </w:p>
    <w:p w14:paraId="7AEDAE4E" w14:textId="22040BAD" w:rsidR="0013427E" w:rsidRPr="00B5029E" w:rsidRDefault="0013427E" w:rsidP="0013427E">
      <w:pPr>
        <w:spacing w:line="360" w:lineRule="auto"/>
      </w:pPr>
      <w:r w:rsidRPr="00B5029E">
        <w:lastRenderedPageBreak/>
        <w:t xml:space="preserve">Um die Prozesssicherheit weiter zu erhöhen, ist der </w:t>
      </w:r>
      <w:r w:rsidR="00E3479B" w:rsidRPr="00B5029E">
        <w:t>Magnetgreifer</w:t>
      </w:r>
      <w:r w:rsidRPr="00B5029E">
        <w:t xml:space="preserve"> mit Sensoren ausgestattet, die die Teileanwesenheit und den Schaltzustand überwachen.</w:t>
      </w:r>
      <w:r w:rsidR="0097239C">
        <w:t xml:space="preserve"> Der Anwen</w:t>
      </w:r>
      <w:r w:rsidR="00491792">
        <w:t>d</w:t>
      </w:r>
      <w:r w:rsidR="0097239C">
        <w:t>er hat damit den Handhabungsprozess stets unter Kontrolle und kann Fehler und Unterbrechungen minimieren.</w:t>
      </w:r>
      <w:r w:rsidRPr="00B5029E">
        <w:t xml:space="preserve"> </w:t>
      </w:r>
    </w:p>
    <w:p w14:paraId="0B44E7B3" w14:textId="77777777" w:rsidR="0013427E" w:rsidRPr="00B5029E" w:rsidRDefault="0013427E" w:rsidP="0013427E">
      <w:pPr>
        <w:spacing w:line="360" w:lineRule="auto"/>
      </w:pPr>
    </w:p>
    <w:p w14:paraId="1128B793" w14:textId="48B39BF0" w:rsidR="00A34302" w:rsidRPr="00B5029E" w:rsidRDefault="00A34302" w:rsidP="00051074">
      <w:pPr>
        <w:pStyle w:val="Zeichen"/>
        <w:rPr>
          <w:rFonts w:ascii="Calibri" w:hAnsi="Calibri"/>
          <w:sz w:val="22"/>
          <w:szCs w:val="22"/>
        </w:rPr>
      </w:pPr>
      <w:r w:rsidRPr="00B5029E">
        <w:rPr>
          <w:rFonts w:ascii="Calibri" w:hAnsi="Calibri"/>
          <w:sz w:val="22"/>
          <w:szCs w:val="22"/>
        </w:rPr>
        <w:t>(</w:t>
      </w:r>
      <w:r w:rsidR="005D42C8">
        <w:rPr>
          <w:rFonts w:ascii="Calibri" w:hAnsi="Calibri"/>
          <w:sz w:val="22"/>
          <w:szCs w:val="22"/>
        </w:rPr>
        <w:t>2.204</w:t>
      </w:r>
      <w:r w:rsidRPr="00B5029E">
        <w:rPr>
          <w:rFonts w:ascii="Calibri" w:hAnsi="Calibri"/>
          <w:sz w:val="22"/>
          <w:szCs w:val="22"/>
        </w:rPr>
        <w:t xml:space="preserve"> Zeichen inkl. Leerzeichen)</w:t>
      </w:r>
    </w:p>
    <w:p w14:paraId="62174683" w14:textId="77777777" w:rsidR="00051074" w:rsidRDefault="00051074" w:rsidP="00051074">
      <w:pPr>
        <w:pStyle w:val="berschrift4"/>
        <w:spacing w:before="0" w:line="360" w:lineRule="auto"/>
        <w:rPr>
          <w:color w:val="auto"/>
        </w:rPr>
      </w:pPr>
    </w:p>
    <w:p w14:paraId="2224F66C" w14:textId="0F2FF527" w:rsidR="00F37AC6" w:rsidRPr="00183C95" w:rsidRDefault="00F37AC6" w:rsidP="00F37AC6">
      <w:pPr>
        <w:rPr>
          <w:rFonts w:ascii="Source Sans Pro" w:hAnsi="Source Sans Pro" w:cs="Calibri"/>
          <w:b/>
          <w:bCs/>
        </w:rPr>
      </w:pPr>
      <w:r w:rsidRPr="00183C95">
        <w:rPr>
          <w:rFonts w:ascii="Source Sans Pro" w:hAnsi="Source Sans Pro" w:cs="Calibri"/>
          <w:b/>
          <w:bCs/>
        </w:rPr>
        <w:t xml:space="preserve">Service für </w:t>
      </w:r>
      <w:r w:rsidR="00EE386E">
        <w:rPr>
          <w:rFonts w:ascii="Source Sans Pro" w:hAnsi="Source Sans Pro" w:cs="Calibri"/>
          <w:b/>
          <w:bCs/>
        </w:rPr>
        <w:t xml:space="preserve">die </w:t>
      </w:r>
      <w:r w:rsidRPr="00183C95">
        <w:rPr>
          <w:rFonts w:ascii="Source Sans Pro" w:hAnsi="Source Sans Pro" w:cs="Calibri"/>
          <w:b/>
          <w:bCs/>
        </w:rPr>
        <w:t>Redaktion</w:t>
      </w:r>
      <w:r w:rsidR="00194AE9">
        <w:rPr>
          <w:rFonts w:ascii="Source Sans Pro" w:hAnsi="Source Sans Pro" w:cs="Calibri"/>
          <w:b/>
          <w:bCs/>
        </w:rPr>
        <w:t>:</w:t>
      </w:r>
    </w:p>
    <w:p w14:paraId="31F8EDB3" w14:textId="2F350DA5" w:rsidR="00051074" w:rsidRPr="00051074" w:rsidRDefault="00051074" w:rsidP="00051074">
      <w:pPr>
        <w:spacing w:line="360" w:lineRule="auto"/>
      </w:pPr>
    </w:p>
    <w:p w14:paraId="35C3CB43" w14:textId="5B8B339F" w:rsidR="00051074" w:rsidRPr="00F37AC6" w:rsidRDefault="00051074" w:rsidP="00051074">
      <w:pPr>
        <w:spacing w:line="360" w:lineRule="auto"/>
        <w:rPr>
          <w:b/>
        </w:rPr>
      </w:pPr>
      <w:r w:rsidRPr="00F37AC6">
        <w:rPr>
          <w:b/>
        </w:rPr>
        <w:t>Meta-Title:</w:t>
      </w:r>
      <w:r w:rsidR="00A3692B" w:rsidRPr="00F37AC6">
        <w:rPr>
          <w:b/>
        </w:rPr>
        <w:t xml:space="preserve"> </w:t>
      </w:r>
      <w:r w:rsidR="0066488B">
        <w:rPr>
          <w:bCs/>
        </w:rPr>
        <w:t xml:space="preserve">Neuer Magnetgreifer handhabt </w:t>
      </w:r>
      <w:r w:rsidR="0066488B" w:rsidRPr="0066488B">
        <w:rPr>
          <w:bCs/>
        </w:rPr>
        <w:t>Batterie-Rundzellen</w:t>
      </w:r>
    </w:p>
    <w:p w14:paraId="33599E03" w14:textId="77777777" w:rsidR="00051074" w:rsidRPr="00F37AC6" w:rsidRDefault="00051074" w:rsidP="00051074">
      <w:pPr>
        <w:spacing w:line="360" w:lineRule="auto"/>
      </w:pPr>
    </w:p>
    <w:p w14:paraId="100F964F" w14:textId="0AB6AEBC" w:rsidR="00051074" w:rsidRPr="0066488B" w:rsidRDefault="00051074" w:rsidP="0066488B">
      <w:pPr>
        <w:spacing w:line="360" w:lineRule="auto"/>
        <w:rPr>
          <w:bCs/>
        </w:rPr>
      </w:pPr>
      <w:r w:rsidRPr="0066488B">
        <w:rPr>
          <w:b/>
        </w:rPr>
        <w:t>Meta-Description:</w:t>
      </w:r>
      <w:r w:rsidR="00A3692B" w:rsidRPr="0066488B">
        <w:rPr>
          <w:b/>
        </w:rPr>
        <w:t xml:space="preserve"> </w:t>
      </w:r>
      <w:r w:rsidR="0066488B">
        <w:rPr>
          <w:bCs/>
        </w:rPr>
        <w:t>Schmalz stellt den n</w:t>
      </w:r>
      <w:r w:rsidR="0066488B" w:rsidRPr="0066488B">
        <w:rPr>
          <w:bCs/>
        </w:rPr>
        <w:t>euen Magnetgreifer SGM-SV-</w:t>
      </w:r>
      <w:r w:rsidR="00E25C01">
        <w:rPr>
          <w:bCs/>
        </w:rPr>
        <w:t>BY</w:t>
      </w:r>
      <w:r w:rsidR="0066488B" w:rsidRPr="0066488B">
        <w:rPr>
          <w:bCs/>
        </w:rPr>
        <w:t xml:space="preserve"> </w:t>
      </w:r>
      <w:r w:rsidR="0066488B">
        <w:rPr>
          <w:bCs/>
        </w:rPr>
        <w:t>vor, der</w:t>
      </w:r>
      <w:r w:rsidR="0066488B" w:rsidRPr="0066488B">
        <w:rPr>
          <w:bCs/>
        </w:rPr>
        <w:t xml:space="preserve"> die präzise </w:t>
      </w:r>
      <w:r w:rsidR="0066488B">
        <w:rPr>
          <w:bCs/>
        </w:rPr>
        <w:t xml:space="preserve">und prozesssichere </w:t>
      </w:r>
      <w:r w:rsidR="0066488B" w:rsidRPr="0066488B">
        <w:rPr>
          <w:bCs/>
        </w:rPr>
        <w:t>Handhabung von ungeladenen und geladenen Batterie-Rundzellen mit einem Durchmesser von 46 Millimetern</w:t>
      </w:r>
      <w:r w:rsidR="0066488B">
        <w:rPr>
          <w:bCs/>
        </w:rPr>
        <w:t xml:space="preserve"> ermöglicht</w:t>
      </w:r>
      <w:r w:rsidR="0066488B" w:rsidRPr="0066488B">
        <w:rPr>
          <w:bCs/>
        </w:rPr>
        <w:t>.</w:t>
      </w:r>
    </w:p>
    <w:p w14:paraId="1BB04693" w14:textId="77777777" w:rsidR="00F37AC6" w:rsidRPr="0066488B" w:rsidRDefault="00F37AC6" w:rsidP="00051074">
      <w:pPr>
        <w:spacing w:line="360" w:lineRule="auto"/>
        <w:rPr>
          <w:b/>
        </w:rPr>
      </w:pPr>
    </w:p>
    <w:p w14:paraId="41061789" w14:textId="1D5A115B" w:rsidR="00051074" w:rsidRPr="0066488B" w:rsidRDefault="00F37AC6" w:rsidP="00051074">
      <w:pPr>
        <w:spacing w:line="360" w:lineRule="auto"/>
      </w:pPr>
      <w:r w:rsidRPr="0066488B">
        <w:rPr>
          <w:b/>
          <w:bCs/>
        </w:rPr>
        <w:t>Social Media:</w:t>
      </w:r>
      <w:r w:rsidRPr="0066488B">
        <w:t xml:space="preserve"> </w:t>
      </w:r>
      <w:r w:rsidR="0066488B" w:rsidRPr="0066488B">
        <w:t>Entdecken Sie den neuen Magnetgreifer SGM-SV-</w:t>
      </w:r>
      <w:r w:rsidR="00E25C01">
        <w:t>BY</w:t>
      </w:r>
      <w:r w:rsidR="0066488B" w:rsidRPr="0066488B">
        <w:t xml:space="preserve"> von Schmalz</w:t>
      </w:r>
      <w:r w:rsidR="0066488B">
        <w:t>.</w:t>
      </w:r>
      <w:r w:rsidR="0066488B" w:rsidRPr="0066488B">
        <w:t xml:space="preserve"> </w:t>
      </w:r>
      <w:r w:rsidR="0066488B">
        <w:t>Er eignet sich p</w:t>
      </w:r>
      <w:r w:rsidR="0066488B" w:rsidRPr="0066488B">
        <w:t xml:space="preserve">erfekt für die präzise Handhabung von ungeladenen und geladenen Batterie-Rundzellen mit 46 </w:t>
      </w:r>
      <w:r w:rsidR="0066488B">
        <w:t>Millimetern</w:t>
      </w:r>
      <w:r w:rsidR="0066488B" w:rsidRPr="0066488B">
        <w:t xml:space="preserve"> Durchmesser. Selbst bei Energieausfall sorgt der Greifer für maximale Prozesssicherheit.</w:t>
      </w:r>
    </w:p>
    <w:p w14:paraId="3B5A3BF1" w14:textId="77777777" w:rsidR="00F37AC6" w:rsidRPr="0066488B" w:rsidRDefault="00F37AC6" w:rsidP="00051074">
      <w:pPr>
        <w:spacing w:line="360" w:lineRule="auto"/>
        <w:rPr>
          <w:b/>
        </w:rPr>
      </w:pPr>
    </w:p>
    <w:p w14:paraId="4EE1C60C" w14:textId="77777777" w:rsidR="00A34302" w:rsidRPr="0066488B" w:rsidRDefault="00A34302" w:rsidP="00051074">
      <w:pPr>
        <w:tabs>
          <w:tab w:val="left" w:pos="1979"/>
        </w:tabs>
        <w:spacing w:line="360" w:lineRule="auto"/>
        <w:rPr>
          <w:b/>
          <w:sz w:val="20"/>
          <w:szCs w:val="20"/>
        </w:rPr>
      </w:pPr>
    </w:p>
    <w:p w14:paraId="46778D15" w14:textId="725D5644" w:rsidR="00A34302" w:rsidRPr="00641BDD" w:rsidRDefault="00A34302" w:rsidP="00AA48FB">
      <w:pPr>
        <w:spacing w:line="360" w:lineRule="auto"/>
        <w:rPr>
          <w:b/>
        </w:rPr>
      </w:pPr>
      <w:r w:rsidRPr="00641BDD">
        <w:rPr>
          <w:b/>
          <w:color w:val="000000" w:themeColor="text1"/>
        </w:rPr>
        <w:t>Bild:</w:t>
      </w:r>
    </w:p>
    <w:tbl>
      <w:tblPr>
        <w:tblStyle w:val="WeiohneLinien-Bildeinfgen"/>
        <w:tblW w:w="0" w:type="auto"/>
        <w:tblLayout w:type="fixed"/>
        <w:tblLook w:val="04A0" w:firstRow="1" w:lastRow="0" w:firstColumn="1" w:lastColumn="0" w:noHBand="0" w:noVBand="1"/>
      </w:tblPr>
      <w:tblGrid>
        <w:gridCol w:w="3515"/>
        <w:gridCol w:w="113"/>
        <w:gridCol w:w="5303"/>
      </w:tblGrid>
      <w:tr w:rsidR="00266BFC" w14:paraId="36CAA506" w14:textId="77777777" w:rsidTr="00266BFC">
        <w:tc>
          <w:tcPr>
            <w:tcW w:w="3515" w:type="dxa"/>
          </w:tcPr>
          <w:p w14:paraId="736C267B" w14:textId="28703478" w:rsidR="00266BFC" w:rsidRDefault="000F1F42" w:rsidP="00AA48FB">
            <w:pPr>
              <w:tabs>
                <w:tab w:val="left" w:pos="1979"/>
              </w:tabs>
              <w:spacing w:line="360" w:lineRule="auto"/>
              <w:rPr>
                <w:b/>
                <w:sz w:val="20"/>
                <w:szCs w:val="20"/>
              </w:rPr>
            </w:pPr>
            <w:r>
              <w:rPr>
                <w:b/>
                <w:noProof/>
                <w:sz w:val="20"/>
                <w:szCs w:val="20"/>
              </w:rPr>
              <w:drawing>
                <wp:inline distT="0" distB="0" distL="0" distR="0" wp14:anchorId="35B2087B" wp14:editId="0AF81513">
                  <wp:extent cx="2234565" cy="1487170"/>
                  <wp:effectExtent l="0" t="0" r="0" b="0"/>
                  <wp:docPr id="63586266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234565" cy="1487170"/>
                          </a:xfrm>
                          <a:prstGeom prst="rect">
                            <a:avLst/>
                          </a:prstGeom>
                          <a:noFill/>
                          <a:ln>
                            <a:noFill/>
                          </a:ln>
                        </pic:spPr>
                      </pic:pic>
                    </a:graphicData>
                  </a:graphic>
                </wp:inline>
              </w:drawing>
            </w:r>
          </w:p>
        </w:tc>
        <w:tc>
          <w:tcPr>
            <w:tcW w:w="113" w:type="dxa"/>
          </w:tcPr>
          <w:p w14:paraId="082C9F21" w14:textId="77777777" w:rsidR="00266BFC" w:rsidRPr="00641BDD" w:rsidRDefault="00266BFC" w:rsidP="00AA48FB">
            <w:pPr>
              <w:spacing w:line="360" w:lineRule="auto"/>
              <w:rPr>
                <w:rFonts w:eastAsia="Calibri"/>
                <w:b/>
                <w:bCs/>
              </w:rPr>
            </w:pPr>
          </w:p>
        </w:tc>
        <w:tc>
          <w:tcPr>
            <w:tcW w:w="5303" w:type="dxa"/>
          </w:tcPr>
          <w:p w14:paraId="170D444E" w14:textId="6ABC50E2" w:rsidR="00266BFC" w:rsidRPr="00641BDD" w:rsidRDefault="00266BFC" w:rsidP="00AA48FB">
            <w:pPr>
              <w:spacing w:line="360" w:lineRule="auto"/>
              <w:rPr>
                <w:rFonts w:eastAsia="Calibri"/>
                <w:b/>
                <w:bCs/>
              </w:rPr>
            </w:pPr>
            <w:r w:rsidRPr="00641BDD">
              <w:rPr>
                <w:rFonts w:eastAsia="Calibri"/>
                <w:b/>
                <w:bCs/>
              </w:rPr>
              <w:t xml:space="preserve">Bild: </w:t>
            </w:r>
          </w:p>
          <w:p w14:paraId="7302357B" w14:textId="2358863C" w:rsidR="00266BFC" w:rsidRPr="00641BDD" w:rsidRDefault="007804EC" w:rsidP="007804EC">
            <w:pPr>
              <w:tabs>
                <w:tab w:val="left" w:pos="1979"/>
              </w:tabs>
              <w:rPr>
                <w:b/>
              </w:rPr>
            </w:pPr>
            <w:r>
              <w:t xml:space="preserve">Der </w:t>
            </w:r>
            <w:r w:rsidRPr="007804EC">
              <w:t>Magnetgreifer SGM-SV-</w:t>
            </w:r>
            <w:r w:rsidR="00E25C01">
              <w:t>BY</w:t>
            </w:r>
            <w:r w:rsidRPr="007804EC">
              <w:t xml:space="preserve"> </w:t>
            </w:r>
            <w:r w:rsidR="0066488B">
              <w:t>gestattet</w:t>
            </w:r>
            <w:r>
              <w:t xml:space="preserve"> das prozesssichere Handling von Rundzellen auch in schnellen Pick-and-Place-Prozessen.</w:t>
            </w:r>
          </w:p>
        </w:tc>
      </w:tr>
    </w:tbl>
    <w:p w14:paraId="2CC0F92E" w14:textId="77777777" w:rsidR="007649E0" w:rsidRDefault="007649E0" w:rsidP="00AA48FB">
      <w:pPr>
        <w:tabs>
          <w:tab w:val="left" w:pos="1979"/>
        </w:tabs>
        <w:spacing w:line="360" w:lineRule="auto"/>
        <w:rPr>
          <w:sz w:val="20"/>
          <w:szCs w:val="20"/>
        </w:rPr>
      </w:pPr>
    </w:p>
    <w:p w14:paraId="02241702" w14:textId="77777777" w:rsidR="00A34302" w:rsidRDefault="00A34302" w:rsidP="00AA48FB">
      <w:pPr>
        <w:tabs>
          <w:tab w:val="left" w:pos="1979"/>
        </w:tabs>
        <w:spacing w:line="360" w:lineRule="auto"/>
      </w:pPr>
      <w:r w:rsidRPr="00641BDD">
        <w:t>Bilder: J. Schmalz GmbH</w:t>
      </w:r>
    </w:p>
    <w:p w14:paraId="64DAC795" w14:textId="77777777" w:rsidR="00A3692B" w:rsidRDefault="00A3692B" w:rsidP="00AA48FB">
      <w:pPr>
        <w:tabs>
          <w:tab w:val="left" w:pos="1979"/>
        </w:tabs>
        <w:spacing w:line="360" w:lineRule="auto"/>
      </w:pPr>
    </w:p>
    <w:p w14:paraId="61F03EDF" w14:textId="77777777" w:rsidR="00A3692B" w:rsidRDefault="00A3692B" w:rsidP="00AA48FB">
      <w:pPr>
        <w:tabs>
          <w:tab w:val="left" w:pos="1979"/>
        </w:tabs>
        <w:spacing w:line="360" w:lineRule="auto"/>
      </w:pPr>
    </w:p>
    <w:p w14:paraId="5EC87B60" w14:textId="77777777" w:rsidR="00A3692B" w:rsidRPr="00641BDD" w:rsidRDefault="00A3692B" w:rsidP="00AA48FB">
      <w:pPr>
        <w:tabs>
          <w:tab w:val="left" w:pos="1979"/>
        </w:tabs>
        <w:spacing w:line="360" w:lineRule="auto"/>
      </w:pPr>
    </w:p>
    <w:p w14:paraId="3D934B2B" w14:textId="59FB239B" w:rsidR="00FE624F" w:rsidRPr="00641BDD" w:rsidRDefault="00FE624F" w:rsidP="00AA48FB">
      <w:pPr>
        <w:spacing w:line="360" w:lineRule="auto"/>
        <w:rPr>
          <w:b/>
        </w:rPr>
      </w:pPr>
      <w:r w:rsidRPr="00641BDD">
        <w:rPr>
          <w:b/>
        </w:rPr>
        <w:t>Zum Unternehmen</w:t>
      </w:r>
    </w:p>
    <w:p w14:paraId="56B7873D" w14:textId="77777777" w:rsidR="00532A7C" w:rsidRDefault="00532A7C" w:rsidP="00AA48FB">
      <w:pPr>
        <w:spacing w:line="360" w:lineRule="auto"/>
      </w:pPr>
      <w:r>
        <w:lastRenderedPageBreak/>
        <w:t>Schmalz ist</w:t>
      </w:r>
      <w:r w:rsidR="001A5B29">
        <w:t xml:space="preserve"> einer der</w:t>
      </w:r>
      <w:r>
        <w:t xml:space="preserve"> Marktführer in der Automatisierung mit Vakuum sowie </w:t>
      </w:r>
      <w:r w:rsidRPr="00CC45A0">
        <w:t>für ergonomische Handhabungssysteme</w:t>
      </w:r>
      <w:r>
        <w:t xml:space="preserve">. Die Produkte des international aufgestellten Unternehmens kommen in Anwendungen der </w:t>
      </w:r>
      <w:r w:rsidRPr="00984FDC">
        <w:t>Logistik</w:t>
      </w:r>
      <w:r>
        <w:t xml:space="preserve"> genauso zum Einsatz wie in der Automobilindustrie, der Elektronikbranche oder der Möbelproduktion. Zum breiten Spektrum im Geschäftsfeld Vakuum-Automation zählen einzelne Komponenten wie Sauggreifer oder Vakuum-Erzeuger, komplette Greifsysteme und Spannlösungen zum Festhalten von Werkstücken, beispielsweise auf CNC-Bearbeitungszentren. Im Geschäftsfeld Handhabung bietet </w:t>
      </w:r>
      <w:r w:rsidRPr="00CC45A0">
        <w:t>Schmalz mit Vakuumhebern und Kransystemen</w:t>
      </w:r>
      <w:r>
        <w:t xml:space="preserve"> innovative </w:t>
      </w:r>
      <w:r w:rsidRPr="00CC45A0">
        <w:t>Handhabungslösungen</w:t>
      </w:r>
      <w:r>
        <w:t xml:space="preserve"> für Industrie und Handwerk. </w:t>
      </w:r>
      <w:bookmarkStart w:id="0" w:name="_Hlk480376106"/>
      <w:r w:rsidRPr="00CC45A0">
        <w:t>Mit dem Geschäftsfeld Energiespeicher baut das Unternehmen ein weiteres Standbein</w:t>
      </w:r>
      <w:r>
        <w:t xml:space="preserve"> im Bereich der stationären Energiespeicher</w:t>
      </w:r>
      <w:r w:rsidRPr="00CC45A0">
        <w:t xml:space="preserve"> auf.</w:t>
      </w:r>
      <w:r>
        <w:t xml:space="preserve"> </w:t>
      </w:r>
    </w:p>
    <w:bookmarkEnd w:id="0"/>
    <w:p w14:paraId="59CC1F1A" w14:textId="77777777" w:rsidR="00532A7C" w:rsidRDefault="00532A7C" w:rsidP="00AA48FB">
      <w:pPr>
        <w:spacing w:line="360" w:lineRule="auto"/>
      </w:pPr>
    </w:p>
    <w:p w14:paraId="06D21086" w14:textId="77777777" w:rsidR="00532A7C" w:rsidRDefault="00532A7C" w:rsidP="00AA48FB">
      <w:pPr>
        <w:spacing w:line="360" w:lineRule="auto"/>
      </w:pPr>
      <w:r>
        <w:t>Die Kombination aus umfassender Beratung, hoher Innovationsorientierung und erstklassiger Qualität sichert Kunden einen nachhaltigen Mehrwert. Intelligente Lösungen von Schmalz machen Produktions- und Logistikprozesse flexibler und effizienter – und gleichzeitig fit für die voranschreitende Digitalisierung.</w:t>
      </w:r>
    </w:p>
    <w:p w14:paraId="43D0A39F" w14:textId="77777777" w:rsidR="00532A7C" w:rsidRDefault="00532A7C" w:rsidP="00AA48FB">
      <w:pPr>
        <w:spacing w:line="360" w:lineRule="auto"/>
      </w:pPr>
    </w:p>
    <w:p w14:paraId="3621D46B" w14:textId="799025C9" w:rsidR="00FE624F" w:rsidRDefault="000B1657" w:rsidP="00AA48FB">
      <w:pPr>
        <w:pStyle w:val="berschrift4"/>
        <w:spacing w:before="0" w:line="360" w:lineRule="auto"/>
        <w:rPr>
          <w:rFonts w:eastAsia="Times New Roman" w:cs="Times New Roman"/>
          <w:b w:val="0"/>
          <w:bCs w:val="0"/>
          <w:iCs w:val="0"/>
          <w:color w:val="auto"/>
        </w:rPr>
      </w:pPr>
      <w:r w:rsidRPr="000B1657">
        <w:rPr>
          <w:rFonts w:eastAsia="Times New Roman" w:cs="Times New Roman"/>
          <w:b w:val="0"/>
          <w:bCs w:val="0"/>
          <w:iCs w:val="0"/>
          <w:color w:val="auto"/>
        </w:rPr>
        <w:t>Schmalz ist mit eigenen Standorten und Handelspartnern in rund 70 Ländern auf allen wichtigen Märkten vertreten. Das Familienunternehmen mit Hauptsitz in Glatten im Schwarzwald beschäftigt an 3</w:t>
      </w:r>
      <w:r w:rsidR="00071696">
        <w:rPr>
          <w:rFonts w:eastAsia="Times New Roman" w:cs="Times New Roman"/>
          <w:b w:val="0"/>
          <w:bCs w:val="0"/>
          <w:iCs w:val="0"/>
          <w:color w:val="auto"/>
        </w:rPr>
        <w:t>1</w:t>
      </w:r>
      <w:r w:rsidRPr="000B1657">
        <w:rPr>
          <w:rFonts w:eastAsia="Times New Roman" w:cs="Times New Roman"/>
          <w:b w:val="0"/>
          <w:bCs w:val="0"/>
          <w:iCs w:val="0"/>
          <w:color w:val="auto"/>
        </w:rPr>
        <w:t xml:space="preserve"> Standorten weltweit rund 1.800 Mitarbeitende.</w:t>
      </w:r>
    </w:p>
    <w:p w14:paraId="4ADED58D" w14:textId="77777777" w:rsidR="00532A7C" w:rsidRPr="00532A7C" w:rsidRDefault="00532A7C" w:rsidP="00AA48FB">
      <w:pPr>
        <w:spacing w:line="360" w:lineRule="auto"/>
      </w:pPr>
    </w:p>
    <w:p w14:paraId="61B36367" w14:textId="77777777" w:rsidR="00FE624F" w:rsidRPr="00641BDD" w:rsidRDefault="00FE624F" w:rsidP="00AA48FB">
      <w:pPr>
        <w:pStyle w:val="berschrift4"/>
        <w:spacing w:before="0" w:line="360" w:lineRule="auto"/>
        <w:rPr>
          <w:color w:val="000000" w:themeColor="text1"/>
        </w:rPr>
      </w:pPr>
      <w:r w:rsidRPr="00641BDD">
        <w:rPr>
          <w:color w:val="000000" w:themeColor="text1"/>
        </w:rPr>
        <w:t xml:space="preserve">Kontakt für </w:t>
      </w:r>
      <w:r w:rsidR="006322B5" w:rsidRPr="00641BDD">
        <w:rPr>
          <w:color w:val="000000" w:themeColor="text1"/>
        </w:rPr>
        <w:t>F</w:t>
      </w:r>
      <w:r w:rsidRPr="00641BDD">
        <w:rPr>
          <w:color w:val="000000" w:themeColor="text1"/>
        </w:rPr>
        <w:t>ragen</w:t>
      </w:r>
    </w:p>
    <w:p w14:paraId="39F956D0" w14:textId="77777777" w:rsidR="00FE624F" w:rsidRPr="00641BDD" w:rsidRDefault="00FE624F" w:rsidP="00AA48FB">
      <w:pPr>
        <w:spacing w:line="360" w:lineRule="auto"/>
      </w:pPr>
      <w:r w:rsidRPr="00641BDD">
        <w:t>J. Schmalz GmbH</w:t>
      </w:r>
    </w:p>
    <w:p w14:paraId="2D842EB9" w14:textId="191892D0" w:rsidR="00FE624F" w:rsidRPr="00641BDD" w:rsidRDefault="00291A03" w:rsidP="00AA48FB">
      <w:pPr>
        <w:spacing w:line="360" w:lineRule="auto"/>
      </w:pPr>
      <w:r>
        <w:t>Unternehmenskommunikation</w:t>
      </w:r>
    </w:p>
    <w:p w14:paraId="43013BC9" w14:textId="77777777" w:rsidR="006322B5" w:rsidRPr="00641BDD" w:rsidRDefault="00DA0159" w:rsidP="00AA48FB">
      <w:pPr>
        <w:spacing w:line="360" w:lineRule="auto"/>
      </w:pPr>
      <w:r w:rsidRPr="00641BDD">
        <w:t>Johannes-Schmalz-Str. 1</w:t>
      </w:r>
    </w:p>
    <w:p w14:paraId="215F59ED" w14:textId="77777777" w:rsidR="00FE624F" w:rsidRPr="00641BDD" w:rsidRDefault="00FE624F" w:rsidP="00AA48FB">
      <w:pPr>
        <w:spacing w:line="360" w:lineRule="auto"/>
      </w:pPr>
      <w:r w:rsidRPr="00641BDD">
        <w:t>72293 Glatten</w:t>
      </w:r>
      <w:r w:rsidR="00DA0159" w:rsidRPr="00641BDD">
        <w:t>, Germany</w:t>
      </w:r>
    </w:p>
    <w:p w14:paraId="62098CA6" w14:textId="77777777" w:rsidR="00FE624F" w:rsidRPr="00641BDD" w:rsidRDefault="00FE624F" w:rsidP="00AA48FB">
      <w:pPr>
        <w:spacing w:line="360" w:lineRule="auto"/>
      </w:pPr>
      <w:r w:rsidRPr="00641BDD">
        <w:t>T</w:t>
      </w:r>
      <w:r w:rsidR="006322B5" w:rsidRPr="00641BDD">
        <w:t>:</w:t>
      </w:r>
      <w:r w:rsidRPr="00641BDD">
        <w:t xml:space="preserve"> +49 7443 2403-506</w:t>
      </w:r>
    </w:p>
    <w:p w14:paraId="236594F2" w14:textId="77777777" w:rsidR="00FE624F" w:rsidRPr="00641BDD" w:rsidRDefault="00FE624F" w:rsidP="00AA48FB">
      <w:pPr>
        <w:spacing w:line="360" w:lineRule="auto"/>
      </w:pPr>
      <w:hyperlink r:id="rId38" w:history="1">
        <w:r w:rsidRPr="00641BDD">
          <w:rPr>
            <w:rStyle w:val="Hyperlink"/>
          </w:rPr>
          <w:t>presse@schmalz.de</w:t>
        </w:r>
      </w:hyperlink>
    </w:p>
    <w:p w14:paraId="0B0FDD30" w14:textId="77777777" w:rsidR="00FE624F" w:rsidRPr="00641BDD" w:rsidRDefault="00FE624F" w:rsidP="00AA48FB">
      <w:pPr>
        <w:spacing w:line="360" w:lineRule="auto"/>
      </w:pPr>
      <w:hyperlink r:id="rId39" w:history="1">
        <w:r w:rsidRPr="00641BDD">
          <w:rPr>
            <w:rStyle w:val="Hyperlink"/>
          </w:rPr>
          <w:t>www.schmalz.com</w:t>
        </w:r>
      </w:hyperlink>
    </w:p>
    <w:p w14:paraId="7AA522AC" w14:textId="77777777" w:rsidR="006322B5" w:rsidRDefault="006322B5" w:rsidP="00AA48FB">
      <w:pPr>
        <w:spacing w:line="360" w:lineRule="auto"/>
        <w:rPr>
          <w:b/>
          <w:sz w:val="20"/>
          <w:szCs w:val="20"/>
        </w:rPr>
      </w:pPr>
    </w:p>
    <w:p w14:paraId="2C300F14" w14:textId="77777777" w:rsidR="00FE624F" w:rsidRPr="00641BDD" w:rsidRDefault="00FE624F" w:rsidP="00AA48FB">
      <w:pPr>
        <w:spacing w:line="360" w:lineRule="auto"/>
        <w:rPr>
          <w:b/>
        </w:rPr>
      </w:pPr>
      <w:r w:rsidRPr="00641BDD">
        <w:rPr>
          <w:b/>
        </w:rPr>
        <w:t>Weitere Pressemitteilungen finden Sie auf unserer Webseite</w:t>
      </w:r>
    </w:p>
    <w:p w14:paraId="4ABF5000" w14:textId="77777777" w:rsidR="00FE624F" w:rsidRPr="00641BDD" w:rsidRDefault="00FE624F" w:rsidP="00AA48FB">
      <w:pPr>
        <w:spacing w:line="360" w:lineRule="auto"/>
        <w:rPr>
          <w:rFonts w:cs="Arial"/>
          <w:b/>
          <w:bCs/>
        </w:rPr>
      </w:pPr>
      <w:hyperlink r:id="rId40" w:history="1">
        <w:r w:rsidRPr="00641BDD">
          <w:rPr>
            <w:rStyle w:val="Hyperlink"/>
            <w:rFonts w:cs="Arial"/>
            <w:b/>
            <w:bCs/>
          </w:rPr>
          <w:t>https://www.schmalz.com/de/unternehmen/schmalz-aktuell/presse/</w:t>
        </w:r>
      </w:hyperlink>
    </w:p>
    <w:p w14:paraId="286CF2C2" w14:textId="77777777" w:rsidR="00532A7C" w:rsidRDefault="00532A7C" w:rsidP="00AA48FB">
      <w:pPr>
        <w:spacing w:line="360" w:lineRule="auto"/>
        <w:rPr>
          <w:b/>
        </w:rPr>
      </w:pPr>
    </w:p>
    <w:p w14:paraId="76A9BF62" w14:textId="77777777" w:rsidR="00A34302" w:rsidRPr="00532A7C" w:rsidRDefault="00FE624F" w:rsidP="00AA48FB">
      <w:pPr>
        <w:spacing w:line="360" w:lineRule="auto"/>
        <w:rPr>
          <w:b/>
        </w:rPr>
      </w:pPr>
      <w:r w:rsidRPr="00641BDD">
        <w:rPr>
          <w:b/>
        </w:rPr>
        <w:t>Abdruck honorarfrei – Belegexemplar erbeten</w:t>
      </w:r>
    </w:p>
    <w:sectPr w:rsidR="00A34302" w:rsidRPr="00532A7C" w:rsidSect="00EC2A4C">
      <w:headerReference w:type="default" r:id="rId41"/>
      <w:footerReference w:type="default" r:id="rId42"/>
      <w:headerReference w:type="first" r:id="rId43"/>
      <w:footerReference w:type="first" r:id="rId44"/>
      <w:type w:val="continuous"/>
      <w:pgSz w:w="11906" w:h="16838" w:code="9"/>
      <w:pgMar w:top="2525" w:right="991" w:bottom="1276" w:left="1134" w:header="1135" w:footer="431"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59393" w14:textId="77777777" w:rsidR="00AC4972" w:rsidRDefault="00AC4972">
      <w:r>
        <w:separator/>
      </w:r>
    </w:p>
    <w:p w14:paraId="002B7115" w14:textId="77777777" w:rsidR="00AC4972" w:rsidRDefault="00AC4972"/>
  </w:endnote>
  <w:endnote w:type="continuationSeparator" w:id="0">
    <w:p w14:paraId="4C4F79F7" w14:textId="77777777" w:rsidR="00AC4972" w:rsidRDefault="00AC4972">
      <w:r>
        <w:continuationSeparator/>
      </w:r>
    </w:p>
    <w:p w14:paraId="2006E1B5" w14:textId="77777777" w:rsidR="00AC4972" w:rsidRDefault="00AC49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ource Sans Pro">
    <w:charset w:val="00"/>
    <w:family w:val="swiss"/>
    <w:pitch w:val="variable"/>
    <w:sig w:usb0="600002F7" w:usb1="02000001"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42A903" w14:textId="77777777" w:rsidR="00C73096" w:rsidRPr="00B753C9" w:rsidRDefault="00B753C9" w:rsidP="00B753C9">
    <w:pPr>
      <w:pStyle w:val="Fuzeile"/>
      <w:rPr>
        <w:rFonts w:eastAsiaTheme="minorEastAsia"/>
      </w:rPr>
    </w:pPr>
    <w:r w:rsidRPr="00B753C9">
      <w:rPr>
        <w:rStyle w:val="FuzeileZchn"/>
        <w:rFonts w:eastAsiaTheme="minorEastAsia"/>
      </w:rPr>
      <w:tab/>
    </w:r>
    <w:r w:rsidRPr="00B753C9">
      <w:rPr>
        <w:rStyle w:val="FuzeileZchn"/>
        <w:rFonts w:eastAsiaTheme="minorEastAsia"/>
      </w:rPr>
      <w:tab/>
    </w:r>
    <w:r w:rsidRPr="00B753C9">
      <w:rPr>
        <w:rStyle w:val="FuzeileZchn"/>
        <w:rFonts w:eastAsiaTheme="minorEastAsia"/>
      </w:rPr>
      <w:tab/>
      <w:t xml:space="preserve">Seite </w:t>
    </w:r>
    <w:r w:rsidRPr="00B753C9">
      <w:rPr>
        <w:rStyle w:val="FuzeileZchn"/>
        <w:rFonts w:eastAsiaTheme="minorEastAsia"/>
      </w:rPr>
      <w:fldChar w:fldCharType="begin"/>
    </w:r>
    <w:r w:rsidRPr="00B753C9">
      <w:rPr>
        <w:rStyle w:val="FuzeileZchn"/>
        <w:rFonts w:eastAsiaTheme="minorEastAsia"/>
      </w:rPr>
      <w:instrText xml:space="preserve"> PAGE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r w:rsidRPr="00B753C9">
      <w:rPr>
        <w:rStyle w:val="FuzeileZchn"/>
        <w:rFonts w:eastAsiaTheme="minorEastAsia"/>
      </w:rPr>
      <w:t xml:space="preserve"> von </w:t>
    </w:r>
    <w:r w:rsidRPr="00B753C9">
      <w:rPr>
        <w:rStyle w:val="FuzeileZchn"/>
        <w:rFonts w:eastAsiaTheme="minorEastAsia"/>
      </w:rPr>
      <w:fldChar w:fldCharType="begin"/>
    </w:r>
    <w:r w:rsidRPr="00B753C9">
      <w:rPr>
        <w:rStyle w:val="FuzeileZchn"/>
        <w:rFonts w:eastAsiaTheme="minorEastAsia"/>
      </w:rPr>
      <w:instrText xml:space="preserve"> NUMPAGES </w:instrText>
    </w:r>
    <w:r w:rsidRPr="00B753C9">
      <w:rPr>
        <w:rStyle w:val="FuzeileZchn"/>
        <w:rFonts w:eastAsiaTheme="minorEastAsia"/>
      </w:rPr>
      <w:fldChar w:fldCharType="separate"/>
    </w:r>
    <w:r w:rsidR="001A5B29">
      <w:rPr>
        <w:rStyle w:val="FuzeileZchn"/>
        <w:rFonts w:eastAsiaTheme="minorEastAsia"/>
        <w:noProof/>
      </w:rPr>
      <w:t>5</w:t>
    </w:r>
    <w:r w:rsidRPr="00B753C9">
      <w:rPr>
        <w:rStyle w:val="FuzeileZchn"/>
        <w:rFonts w:eastAsia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BB3D0" w14:textId="77777777" w:rsidR="00836124" w:rsidRPr="00375C01" w:rsidRDefault="00534A38" w:rsidP="00375C01">
    <w:pPr>
      <w:pStyle w:val="Fuzeile"/>
      <w:rPr>
        <w:rFonts w:eastAsiaTheme="minorEastAsia"/>
      </w:rPr>
    </w:pPr>
    <w:r>
      <w:rPr>
        <w:rStyle w:val="FuzeileZchn"/>
        <w:rFonts w:eastAsiaTheme="minorEastAsia"/>
        <w:b/>
      </w:rPr>
      <w:t xml:space="preserve"> </w:t>
    </w:r>
    <w:r>
      <w:rPr>
        <w:rStyle w:val="FuzeileZchn"/>
        <w:rFonts w:eastAsiaTheme="minorEastAsia"/>
        <w:b/>
      </w:rPr>
      <w:tab/>
    </w:r>
    <w:r>
      <w:rPr>
        <w:rStyle w:val="FuzeileZchn"/>
        <w:rFonts w:eastAsiaTheme="minorEastAsia"/>
        <w:b/>
      </w:rPr>
      <w:tab/>
    </w:r>
    <w:r w:rsidR="00B753C9">
      <w:rPr>
        <w:rStyle w:val="FuzeileZchn"/>
        <w:rFonts w:eastAsiaTheme="minorEastAsia"/>
      </w:rPr>
      <w:tab/>
    </w:r>
    <w:r w:rsidR="00B753C9" w:rsidRPr="00C776A7">
      <w:rPr>
        <w:rStyle w:val="FuzeileZchn"/>
        <w:rFonts w:eastAsiaTheme="minorEastAsia"/>
      </w:rPr>
      <w:t xml:space="preserve">Seite </w:t>
    </w:r>
    <w:r w:rsidR="00B753C9" w:rsidRPr="00C776A7">
      <w:rPr>
        <w:rStyle w:val="FuzeileZchn"/>
        <w:rFonts w:eastAsiaTheme="minorEastAsia"/>
      </w:rPr>
      <w:fldChar w:fldCharType="begin"/>
    </w:r>
    <w:r w:rsidR="00B753C9" w:rsidRPr="00C776A7">
      <w:rPr>
        <w:rStyle w:val="FuzeileZchn"/>
        <w:rFonts w:eastAsiaTheme="minorEastAsia"/>
      </w:rPr>
      <w:instrText xml:space="preserve"> PAGE </w:instrText>
    </w:r>
    <w:r w:rsidR="00B753C9" w:rsidRPr="00C776A7">
      <w:rPr>
        <w:rStyle w:val="FuzeileZchn"/>
        <w:rFonts w:eastAsiaTheme="minorEastAsia"/>
      </w:rPr>
      <w:fldChar w:fldCharType="separate"/>
    </w:r>
    <w:r w:rsidR="001A5B29">
      <w:rPr>
        <w:rStyle w:val="FuzeileZchn"/>
        <w:rFonts w:eastAsiaTheme="minorEastAsia"/>
        <w:noProof/>
      </w:rPr>
      <w:t>1</w:t>
    </w:r>
    <w:r w:rsidR="00B753C9" w:rsidRPr="00C776A7">
      <w:rPr>
        <w:rStyle w:val="FuzeileZchn"/>
        <w:rFonts w:eastAsiaTheme="minorEastAsia"/>
      </w:rPr>
      <w:fldChar w:fldCharType="end"/>
    </w:r>
    <w:r w:rsidR="00B753C9" w:rsidRPr="00C776A7">
      <w:rPr>
        <w:rStyle w:val="FuzeileZchn"/>
        <w:rFonts w:eastAsiaTheme="minorEastAsia"/>
      </w:rPr>
      <w:t xml:space="preserve"> von </w:t>
    </w:r>
    <w:r w:rsidR="00B753C9" w:rsidRPr="00C776A7">
      <w:rPr>
        <w:rStyle w:val="FuzeileZchn"/>
        <w:rFonts w:eastAsiaTheme="minorEastAsia"/>
      </w:rPr>
      <w:fldChar w:fldCharType="begin"/>
    </w:r>
    <w:r w:rsidR="00B753C9" w:rsidRPr="00C776A7">
      <w:rPr>
        <w:rStyle w:val="FuzeileZchn"/>
        <w:rFonts w:eastAsiaTheme="minorEastAsia"/>
      </w:rPr>
      <w:instrText xml:space="preserve"> NUMPAGES </w:instrText>
    </w:r>
    <w:r w:rsidR="00B753C9" w:rsidRPr="00C776A7">
      <w:rPr>
        <w:rStyle w:val="FuzeileZchn"/>
        <w:rFonts w:eastAsiaTheme="minorEastAsia"/>
      </w:rPr>
      <w:fldChar w:fldCharType="separate"/>
    </w:r>
    <w:r w:rsidR="001A5B29">
      <w:rPr>
        <w:rStyle w:val="FuzeileZchn"/>
        <w:rFonts w:eastAsiaTheme="minorEastAsia"/>
        <w:noProof/>
      </w:rPr>
      <w:t>5</w:t>
    </w:r>
    <w:r w:rsidR="00B753C9" w:rsidRPr="00C776A7">
      <w:rPr>
        <w:rStyle w:val="FuzeileZchn"/>
        <w:rFonts w:eastAsia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50E94" w14:textId="77777777" w:rsidR="00AC4972" w:rsidRDefault="00AC4972">
      <w:r>
        <w:separator/>
      </w:r>
    </w:p>
    <w:p w14:paraId="0DCD373C" w14:textId="77777777" w:rsidR="00AC4972" w:rsidRDefault="00AC4972"/>
  </w:footnote>
  <w:footnote w:type="continuationSeparator" w:id="0">
    <w:p w14:paraId="0A72B12F" w14:textId="77777777" w:rsidR="00AC4972" w:rsidRDefault="00AC4972">
      <w:r>
        <w:continuationSeparator/>
      </w:r>
    </w:p>
    <w:p w14:paraId="6D040CF9" w14:textId="77777777" w:rsidR="00AC4972" w:rsidRDefault="00AC49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3396B" w14:textId="77777777" w:rsidR="00A34302" w:rsidRPr="00C41A96" w:rsidRDefault="00A34302" w:rsidP="00A34302">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62336" behindDoc="0" locked="0" layoutInCell="1" allowOverlap="1" wp14:anchorId="0B48EE5F" wp14:editId="07ED5FC6">
          <wp:simplePos x="0" y="0"/>
          <wp:positionH relativeFrom="column">
            <wp:posOffset>4951730</wp:posOffset>
          </wp:positionH>
          <wp:positionV relativeFrom="paragraph">
            <wp:posOffset>-200025</wp:posOffset>
          </wp:positionV>
          <wp:extent cx="1259840" cy="528320"/>
          <wp:effectExtent l="0" t="0" r="0" b="508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p w14:paraId="4B5EB169" w14:textId="77777777" w:rsidR="003254A4" w:rsidRDefault="003254A4" w:rsidP="00A34302">
    <w:pPr>
      <w:pStyle w:val="Kopfzeile"/>
      <w:tabs>
        <w:tab w:val="clear" w:pos="4536"/>
        <w:tab w:val="clear" w:pos="9072"/>
        <w:tab w:val="left" w:pos="309"/>
        <w:tab w:val="left" w:pos="2439"/>
        <w:tab w:val="right" w:pos="9781"/>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719442" w14:textId="77777777" w:rsidR="00C41A96" w:rsidRPr="00C41A96" w:rsidRDefault="002E1188" w:rsidP="00EC2A4C">
    <w:pPr>
      <w:pStyle w:val="Kopfzeile"/>
      <w:tabs>
        <w:tab w:val="clear" w:pos="4536"/>
        <w:tab w:val="clear" w:pos="9072"/>
        <w:tab w:val="right" w:pos="9781"/>
      </w:tabs>
      <w:rPr>
        <w:color w:val="00549C"/>
        <w:szCs w:val="28"/>
      </w:rPr>
    </w:pPr>
    <w:r w:rsidRPr="00C41A96">
      <w:rPr>
        <w:noProof/>
      </w:rPr>
      <w:drawing>
        <wp:anchor distT="0" distB="0" distL="114300" distR="114300" simplePos="0" relativeHeight="251659264" behindDoc="0" locked="0" layoutInCell="1" allowOverlap="1" wp14:anchorId="387FD751" wp14:editId="1B741499">
          <wp:simplePos x="0" y="0"/>
          <wp:positionH relativeFrom="column">
            <wp:posOffset>4951730</wp:posOffset>
          </wp:positionH>
          <wp:positionV relativeFrom="paragraph">
            <wp:posOffset>-200025</wp:posOffset>
          </wp:positionV>
          <wp:extent cx="1259840" cy="528320"/>
          <wp:effectExtent l="0" t="0" r="0" b="508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MALZ_Logo_blue_RGB-1010px-72dpi.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9840" cy="52832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0F2D6D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9EC55F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1C8B9F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16ABA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5DD88A72"/>
    <w:lvl w:ilvl="0">
      <w:start w:val="1"/>
      <w:numFmt w:val="bullet"/>
      <w:lvlText w:val=""/>
      <w:lvlJc w:val="left"/>
      <w:pPr>
        <w:ind w:left="1492" w:hanging="360"/>
      </w:pPr>
      <w:rPr>
        <w:rFonts w:ascii="Wingdings" w:hAnsi="Wingdings" w:hint="default"/>
        <w:color w:val="00549C"/>
      </w:rPr>
    </w:lvl>
  </w:abstractNum>
  <w:abstractNum w:abstractNumId="5" w15:restartNumberingAfterBreak="0">
    <w:nsid w:val="FFFFFF81"/>
    <w:multiLevelType w:val="singleLevel"/>
    <w:tmpl w:val="BC8CC5EC"/>
    <w:lvl w:ilvl="0">
      <w:start w:val="1"/>
      <w:numFmt w:val="bullet"/>
      <w:lvlText w:val=""/>
      <w:lvlJc w:val="left"/>
      <w:pPr>
        <w:ind w:left="1209" w:hanging="360"/>
      </w:pPr>
      <w:rPr>
        <w:rFonts w:ascii="Wingdings" w:hAnsi="Wingdings" w:hint="default"/>
        <w:color w:val="00549C"/>
      </w:rPr>
    </w:lvl>
  </w:abstractNum>
  <w:abstractNum w:abstractNumId="6" w15:restartNumberingAfterBreak="0">
    <w:nsid w:val="FFFFFF82"/>
    <w:multiLevelType w:val="singleLevel"/>
    <w:tmpl w:val="E9A0455A"/>
    <w:lvl w:ilvl="0">
      <w:start w:val="1"/>
      <w:numFmt w:val="bullet"/>
      <w:lvlText w:val=""/>
      <w:lvlJc w:val="left"/>
      <w:pPr>
        <w:ind w:left="926" w:hanging="360"/>
      </w:pPr>
      <w:rPr>
        <w:rFonts w:ascii="Wingdings" w:hAnsi="Wingdings" w:hint="default"/>
        <w:color w:val="00549C"/>
      </w:rPr>
    </w:lvl>
  </w:abstractNum>
  <w:abstractNum w:abstractNumId="7" w15:restartNumberingAfterBreak="0">
    <w:nsid w:val="FFFFFF83"/>
    <w:multiLevelType w:val="singleLevel"/>
    <w:tmpl w:val="0B901024"/>
    <w:lvl w:ilvl="0">
      <w:start w:val="1"/>
      <w:numFmt w:val="bullet"/>
      <w:lvlText w:val=""/>
      <w:lvlJc w:val="left"/>
      <w:pPr>
        <w:ind w:left="643" w:hanging="360"/>
      </w:pPr>
      <w:rPr>
        <w:rFonts w:ascii="Wingdings" w:hAnsi="Wingdings" w:hint="default"/>
        <w:color w:val="00549C"/>
      </w:rPr>
    </w:lvl>
  </w:abstractNum>
  <w:abstractNum w:abstractNumId="8" w15:restartNumberingAfterBreak="0">
    <w:nsid w:val="FFFFFF88"/>
    <w:multiLevelType w:val="singleLevel"/>
    <w:tmpl w:val="0A50ED3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86AA80A"/>
    <w:lvl w:ilvl="0">
      <w:start w:val="1"/>
      <w:numFmt w:val="bullet"/>
      <w:pStyle w:val="Aufzhlungszeichen"/>
      <w:lvlText w:val=""/>
      <w:lvlJc w:val="left"/>
      <w:pPr>
        <w:ind w:left="360" w:hanging="360"/>
      </w:pPr>
      <w:rPr>
        <w:rFonts w:ascii="Wingdings" w:hAnsi="Wingdings" w:hint="default"/>
        <w:color w:val="auto"/>
      </w:rPr>
    </w:lvl>
  </w:abstractNum>
  <w:abstractNum w:abstractNumId="10" w15:restartNumberingAfterBreak="0">
    <w:nsid w:val="05C345EE"/>
    <w:multiLevelType w:val="hybridMultilevel"/>
    <w:tmpl w:val="9CCCB362"/>
    <w:lvl w:ilvl="0" w:tplc="04070001">
      <w:start w:val="1"/>
      <w:numFmt w:val="bullet"/>
      <w:lvlText w:val=""/>
      <w:lvlJc w:val="left"/>
      <w:pPr>
        <w:tabs>
          <w:tab w:val="num" w:pos="715"/>
        </w:tabs>
        <w:ind w:left="715" w:hanging="360"/>
      </w:pPr>
      <w:rPr>
        <w:rFonts w:ascii="Symbol" w:hAnsi="Symbol" w:hint="default"/>
      </w:rPr>
    </w:lvl>
    <w:lvl w:ilvl="1" w:tplc="04070003" w:tentative="1">
      <w:start w:val="1"/>
      <w:numFmt w:val="bullet"/>
      <w:lvlText w:val="o"/>
      <w:lvlJc w:val="left"/>
      <w:pPr>
        <w:tabs>
          <w:tab w:val="num" w:pos="1435"/>
        </w:tabs>
        <w:ind w:left="1435" w:hanging="360"/>
      </w:pPr>
      <w:rPr>
        <w:rFonts w:ascii="Courier New" w:hAnsi="Courier New" w:cs="Courier New" w:hint="default"/>
      </w:rPr>
    </w:lvl>
    <w:lvl w:ilvl="2" w:tplc="04070005" w:tentative="1">
      <w:start w:val="1"/>
      <w:numFmt w:val="bullet"/>
      <w:lvlText w:val=""/>
      <w:lvlJc w:val="left"/>
      <w:pPr>
        <w:tabs>
          <w:tab w:val="num" w:pos="2155"/>
        </w:tabs>
        <w:ind w:left="2155" w:hanging="360"/>
      </w:pPr>
      <w:rPr>
        <w:rFonts w:ascii="Wingdings" w:hAnsi="Wingdings" w:hint="default"/>
      </w:rPr>
    </w:lvl>
    <w:lvl w:ilvl="3" w:tplc="04070001" w:tentative="1">
      <w:start w:val="1"/>
      <w:numFmt w:val="bullet"/>
      <w:lvlText w:val=""/>
      <w:lvlJc w:val="left"/>
      <w:pPr>
        <w:tabs>
          <w:tab w:val="num" w:pos="2875"/>
        </w:tabs>
        <w:ind w:left="2875" w:hanging="360"/>
      </w:pPr>
      <w:rPr>
        <w:rFonts w:ascii="Symbol" w:hAnsi="Symbol" w:hint="default"/>
      </w:rPr>
    </w:lvl>
    <w:lvl w:ilvl="4" w:tplc="04070003" w:tentative="1">
      <w:start w:val="1"/>
      <w:numFmt w:val="bullet"/>
      <w:lvlText w:val="o"/>
      <w:lvlJc w:val="left"/>
      <w:pPr>
        <w:tabs>
          <w:tab w:val="num" w:pos="3595"/>
        </w:tabs>
        <w:ind w:left="3595" w:hanging="360"/>
      </w:pPr>
      <w:rPr>
        <w:rFonts w:ascii="Courier New" w:hAnsi="Courier New" w:cs="Courier New" w:hint="default"/>
      </w:rPr>
    </w:lvl>
    <w:lvl w:ilvl="5" w:tplc="04070005" w:tentative="1">
      <w:start w:val="1"/>
      <w:numFmt w:val="bullet"/>
      <w:lvlText w:val=""/>
      <w:lvlJc w:val="left"/>
      <w:pPr>
        <w:tabs>
          <w:tab w:val="num" w:pos="4315"/>
        </w:tabs>
        <w:ind w:left="4315" w:hanging="360"/>
      </w:pPr>
      <w:rPr>
        <w:rFonts w:ascii="Wingdings" w:hAnsi="Wingdings" w:hint="default"/>
      </w:rPr>
    </w:lvl>
    <w:lvl w:ilvl="6" w:tplc="04070001" w:tentative="1">
      <w:start w:val="1"/>
      <w:numFmt w:val="bullet"/>
      <w:lvlText w:val=""/>
      <w:lvlJc w:val="left"/>
      <w:pPr>
        <w:tabs>
          <w:tab w:val="num" w:pos="5035"/>
        </w:tabs>
        <w:ind w:left="5035" w:hanging="360"/>
      </w:pPr>
      <w:rPr>
        <w:rFonts w:ascii="Symbol" w:hAnsi="Symbol" w:hint="default"/>
      </w:rPr>
    </w:lvl>
    <w:lvl w:ilvl="7" w:tplc="04070003" w:tentative="1">
      <w:start w:val="1"/>
      <w:numFmt w:val="bullet"/>
      <w:lvlText w:val="o"/>
      <w:lvlJc w:val="left"/>
      <w:pPr>
        <w:tabs>
          <w:tab w:val="num" w:pos="5755"/>
        </w:tabs>
        <w:ind w:left="5755" w:hanging="360"/>
      </w:pPr>
      <w:rPr>
        <w:rFonts w:ascii="Courier New" w:hAnsi="Courier New" w:cs="Courier New" w:hint="default"/>
      </w:rPr>
    </w:lvl>
    <w:lvl w:ilvl="8" w:tplc="04070005" w:tentative="1">
      <w:start w:val="1"/>
      <w:numFmt w:val="bullet"/>
      <w:lvlText w:val=""/>
      <w:lvlJc w:val="left"/>
      <w:pPr>
        <w:tabs>
          <w:tab w:val="num" w:pos="6475"/>
        </w:tabs>
        <w:ind w:left="6475" w:hanging="360"/>
      </w:pPr>
      <w:rPr>
        <w:rFonts w:ascii="Wingdings" w:hAnsi="Wingdings" w:hint="default"/>
      </w:rPr>
    </w:lvl>
  </w:abstractNum>
  <w:abstractNum w:abstractNumId="11" w15:restartNumberingAfterBreak="0">
    <w:nsid w:val="067F5A62"/>
    <w:multiLevelType w:val="hybridMultilevel"/>
    <w:tmpl w:val="6D8CFA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81713F6"/>
    <w:multiLevelType w:val="hybridMultilevel"/>
    <w:tmpl w:val="D98C4B20"/>
    <w:lvl w:ilvl="0" w:tplc="04070017">
      <w:start w:val="1"/>
      <w:numFmt w:val="lowerLetter"/>
      <w:lvlText w:val="%1)"/>
      <w:lvlJc w:val="left"/>
      <w:pPr>
        <w:tabs>
          <w:tab w:val="num" w:pos="-360"/>
        </w:tabs>
        <w:ind w:left="-360" w:hanging="360"/>
      </w:pPr>
    </w:lvl>
    <w:lvl w:ilvl="1" w:tplc="04070019" w:tentative="1">
      <w:start w:val="1"/>
      <w:numFmt w:val="lowerLetter"/>
      <w:lvlText w:val="%2."/>
      <w:lvlJc w:val="left"/>
      <w:pPr>
        <w:tabs>
          <w:tab w:val="num" w:pos="360"/>
        </w:tabs>
        <w:ind w:left="360" w:hanging="360"/>
      </w:pPr>
    </w:lvl>
    <w:lvl w:ilvl="2" w:tplc="0407001B" w:tentative="1">
      <w:start w:val="1"/>
      <w:numFmt w:val="lowerRoman"/>
      <w:lvlText w:val="%3."/>
      <w:lvlJc w:val="right"/>
      <w:pPr>
        <w:tabs>
          <w:tab w:val="num" w:pos="1080"/>
        </w:tabs>
        <w:ind w:left="1080" w:hanging="180"/>
      </w:pPr>
    </w:lvl>
    <w:lvl w:ilvl="3" w:tplc="0407000F" w:tentative="1">
      <w:start w:val="1"/>
      <w:numFmt w:val="decimal"/>
      <w:lvlText w:val="%4."/>
      <w:lvlJc w:val="left"/>
      <w:pPr>
        <w:tabs>
          <w:tab w:val="num" w:pos="1800"/>
        </w:tabs>
        <w:ind w:left="1800" w:hanging="360"/>
      </w:pPr>
    </w:lvl>
    <w:lvl w:ilvl="4" w:tplc="04070019" w:tentative="1">
      <w:start w:val="1"/>
      <w:numFmt w:val="lowerLetter"/>
      <w:lvlText w:val="%5."/>
      <w:lvlJc w:val="left"/>
      <w:pPr>
        <w:tabs>
          <w:tab w:val="num" w:pos="2520"/>
        </w:tabs>
        <w:ind w:left="2520" w:hanging="360"/>
      </w:pPr>
    </w:lvl>
    <w:lvl w:ilvl="5" w:tplc="0407001B" w:tentative="1">
      <w:start w:val="1"/>
      <w:numFmt w:val="lowerRoman"/>
      <w:lvlText w:val="%6."/>
      <w:lvlJc w:val="right"/>
      <w:pPr>
        <w:tabs>
          <w:tab w:val="num" w:pos="3240"/>
        </w:tabs>
        <w:ind w:left="3240" w:hanging="180"/>
      </w:pPr>
    </w:lvl>
    <w:lvl w:ilvl="6" w:tplc="0407000F" w:tentative="1">
      <w:start w:val="1"/>
      <w:numFmt w:val="decimal"/>
      <w:lvlText w:val="%7."/>
      <w:lvlJc w:val="left"/>
      <w:pPr>
        <w:tabs>
          <w:tab w:val="num" w:pos="3960"/>
        </w:tabs>
        <w:ind w:left="3960" w:hanging="360"/>
      </w:pPr>
    </w:lvl>
    <w:lvl w:ilvl="7" w:tplc="04070019" w:tentative="1">
      <w:start w:val="1"/>
      <w:numFmt w:val="lowerLetter"/>
      <w:lvlText w:val="%8."/>
      <w:lvlJc w:val="left"/>
      <w:pPr>
        <w:tabs>
          <w:tab w:val="num" w:pos="4680"/>
        </w:tabs>
        <w:ind w:left="4680" w:hanging="360"/>
      </w:pPr>
    </w:lvl>
    <w:lvl w:ilvl="8" w:tplc="0407001B" w:tentative="1">
      <w:start w:val="1"/>
      <w:numFmt w:val="lowerRoman"/>
      <w:lvlText w:val="%9."/>
      <w:lvlJc w:val="right"/>
      <w:pPr>
        <w:tabs>
          <w:tab w:val="num" w:pos="5400"/>
        </w:tabs>
        <w:ind w:left="5400" w:hanging="180"/>
      </w:pPr>
    </w:lvl>
  </w:abstractNum>
  <w:abstractNum w:abstractNumId="13" w15:restartNumberingAfterBreak="0">
    <w:nsid w:val="093D0D30"/>
    <w:multiLevelType w:val="hybridMultilevel"/>
    <w:tmpl w:val="46082942"/>
    <w:lvl w:ilvl="0" w:tplc="04070005">
      <w:start w:val="1"/>
      <w:numFmt w:val="bullet"/>
      <w:lvlText w:val=""/>
      <w:lvlJc w:val="left"/>
      <w:pPr>
        <w:tabs>
          <w:tab w:val="num" w:pos="720"/>
        </w:tabs>
        <w:ind w:left="720" w:hanging="360"/>
      </w:pPr>
      <w:rPr>
        <w:rFonts w:ascii="Wingdings" w:hAnsi="Wingdings" w:hint="default"/>
      </w:rPr>
    </w:lvl>
    <w:lvl w:ilvl="1" w:tplc="0407000F">
      <w:start w:val="1"/>
      <w:numFmt w:val="decimal"/>
      <w:lvlText w:val="%2."/>
      <w:lvlJc w:val="left"/>
      <w:pPr>
        <w:tabs>
          <w:tab w:val="num" w:pos="1440"/>
        </w:tabs>
        <w:ind w:left="1440" w:hanging="360"/>
      </w:p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B5775C"/>
    <w:multiLevelType w:val="hybridMultilevel"/>
    <w:tmpl w:val="B1021B12"/>
    <w:lvl w:ilvl="0" w:tplc="BC2ED0FE">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5" w15:restartNumberingAfterBreak="0">
    <w:nsid w:val="0B9C1000"/>
    <w:multiLevelType w:val="multilevel"/>
    <w:tmpl w:val="99C0FB9C"/>
    <w:styleLink w:val="FormatvorlageNummerierteListe"/>
    <w:lvl w:ilvl="0">
      <w:start w:val="1"/>
      <w:numFmt w:val="lowerLetter"/>
      <w:lvlText w:val="%1)"/>
      <w:lvlJc w:val="left"/>
      <w:pPr>
        <w:tabs>
          <w:tab w:val="num" w:pos="720"/>
        </w:tabs>
        <w:ind w:left="360" w:hanging="360"/>
      </w:pPr>
      <w:rPr>
        <w:rFonts w:ascii="Arial" w:hAnsi="Arial"/>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1A1E2613"/>
    <w:multiLevelType w:val="hybridMultilevel"/>
    <w:tmpl w:val="A5C057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1DAB4FEE"/>
    <w:multiLevelType w:val="multilevel"/>
    <w:tmpl w:val="680AD0D8"/>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05C1C87"/>
    <w:multiLevelType w:val="hybridMultilevel"/>
    <w:tmpl w:val="46B84EE2"/>
    <w:lvl w:ilvl="0" w:tplc="8CBA445E">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9" w15:restartNumberingAfterBreak="0">
    <w:nsid w:val="34FC75EF"/>
    <w:multiLevelType w:val="hybridMultilevel"/>
    <w:tmpl w:val="3E46802C"/>
    <w:lvl w:ilvl="0" w:tplc="0407000F">
      <w:start w:val="1"/>
      <w:numFmt w:val="decimal"/>
      <w:lvlText w:val="%1."/>
      <w:lvlJc w:val="left"/>
      <w:pPr>
        <w:tabs>
          <w:tab w:val="num" w:pos="360"/>
        </w:tabs>
        <w:ind w:left="360" w:hanging="360"/>
      </w:p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15:restartNumberingAfterBreak="0">
    <w:nsid w:val="365C2785"/>
    <w:multiLevelType w:val="hybridMultilevel"/>
    <w:tmpl w:val="838ACB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87D4800"/>
    <w:multiLevelType w:val="multilevel"/>
    <w:tmpl w:val="99C0FB9C"/>
    <w:numStyleLink w:val="FormatvorlageNummerierteListe"/>
  </w:abstractNum>
  <w:abstractNum w:abstractNumId="22" w15:restartNumberingAfterBreak="0">
    <w:nsid w:val="3D0F34C7"/>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D343FD3"/>
    <w:multiLevelType w:val="hybridMultilevel"/>
    <w:tmpl w:val="680AD0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DB209A4"/>
    <w:multiLevelType w:val="singleLevel"/>
    <w:tmpl w:val="0407000F"/>
    <w:lvl w:ilvl="0">
      <w:start w:val="1"/>
      <w:numFmt w:val="decimal"/>
      <w:lvlText w:val="%1."/>
      <w:lvlJc w:val="left"/>
      <w:pPr>
        <w:tabs>
          <w:tab w:val="num" w:pos="720"/>
        </w:tabs>
        <w:ind w:left="720" w:hanging="360"/>
      </w:pPr>
    </w:lvl>
  </w:abstractNum>
  <w:abstractNum w:abstractNumId="25" w15:restartNumberingAfterBreak="0">
    <w:nsid w:val="528F6D8F"/>
    <w:multiLevelType w:val="hybridMultilevel"/>
    <w:tmpl w:val="99C0FB9C"/>
    <w:lvl w:ilvl="0" w:tplc="04070017">
      <w:start w:val="1"/>
      <w:numFmt w:val="lowerLetter"/>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561D4F06"/>
    <w:multiLevelType w:val="multilevel"/>
    <w:tmpl w:val="68C0E39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932139D"/>
    <w:multiLevelType w:val="hybridMultilevel"/>
    <w:tmpl w:val="41F49C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5E4D0906"/>
    <w:multiLevelType w:val="hybridMultilevel"/>
    <w:tmpl w:val="D8721C30"/>
    <w:lvl w:ilvl="0" w:tplc="02C0E884">
      <w:start w:val="1"/>
      <w:numFmt w:val="bullet"/>
      <w:lvlText w:val=""/>
      <w:lvlJc w:val="left"/>
      <w:pPr>
        <w:ind w:left="1440" w:hanging="360"/>
      </w:pPr>
      <w:rPr>
        <w:rFonts w:ascii="Wingdings" w:hAnsi="Wingdings" w:hint="default"/>
        <w:color w:val="00549C"/>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FCB1BA1"/>
    <w:multiLevelType w:val="hybridMultilevel"/>
    <w:tmpl w:val="4FD87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1B86459"/>
    <w:multiLevelType w:val="multilevel"/>
    <w:tmpl w:val="99C0FB9C"/>
    <w:numStyleLink w:val="FormatvorlageNummerierteListe"/>
  </w:abstractNum>
  <w:abstractNum w:abstractNumId="31" w15:restartNumberingAfterBreak="0">
    <w:nsid w:val="7DA56FFB"/>
    <w:multiLevelType w:val="hybridMultilevel"/>
    <w:tmpl w:val="89DE92A0"/>
    <w:lvl w:ilvl="0" w:tplc="04070001">
      <w:start w:val="1"/>
      <w:numFmt w:val="bullet"/>
      <w:lvlText w:val=""/>
      <w:lvlJc w:val="left"/>
      <w:pPr>
        <w:ind w:left="2344" w:hanging="360"/>
      </w:pPr>
      <w:rPr>
        <w:rFonts w:ascii="Symbol" w:hAnsi="Symbol" w:hint="default"/>
      </w:rPr>
    </w:lvl>
    <w:lvl w:ilvl="1" w:tplc="04070003" w:tentative="1">
      <w:start w:val="1"/>
      <w:numFmt w:val="bullet"/>
      <w:lvlText w:val="o"/>
      <w:lvlJc w:val="left"/>
      <w:pPr>
        <w:ind w:left="3064" w:hanging="360"/>
      </w:pPr>
      <w:rPr>
        <w:rFonts w:ascii="Courier New" w:hAnsi="Courier New" w:cs="Courier New" w:hint="default"/>
      </w:rPr>
    </w:lvl>
    <w:lvl w:ilvl="2" w:tplc="04070005" w:tentative="1">
      <w:start w:val="1"/>
      <w:numFmt w:val="bullet"/>
      <w:lvlText w:val=""/>
      <w:lvlJc w:val="left"/>
      <w:pPr>
        <w:ind w:left="3784" w:hanging="360"/>
      </w:pPr>
      <w:rPr>
        <w:rFonts w:ascii="Wingdings" w:hAnsi="Wingdings" w:hint="default"/>
      </w:rPr>
    </w:lvl>
    <w:lvl w:ilvl="3" w:tplc="04070001" w:tentative="1">
      <w:start w:val="1"/>
      <w:numFmt w:val="bullet"/>
      <w:lvlText w:val=""/>
      <w:lvlJc w:val="left"/>
      <w:pPr>
        <w:ind w:left="4504" w:hanging="360"/>
      </w:pPr>
      <w:rPr>
        <w:rFonts w:ascii="Symbol" w:hAnsi="Symbol" w:hint="default"/>
      </w:rPr>
    </w:lvl>
    <w:lvl w:ilvl="4" w:tplc="04070003" w:tentative="1">
      <w:start w:val="1"/>
      <w:numFmt w:val="bullet"/>
      <w:lvlText w:val="o"/>
      <w:lvlJc w:val="left"/>
      <w:pPr>
        <w:ind w:left="5224" w:hanging="360"/>
      </w:pPr>
      <w:rPr>
        <w:rFonts w:ascii="Courier New" w:hAnsi="Courier New" w:cs="Courier New" w:hint="default"/>
      </w:rPr>
    </w:lvl>
    <w:lvl w:ilvl="5" w:tplc="04070005" w:tentative="1">
      <w:start w:val="1"/>
      <w:numFmt w:val="bullet"/>
      <w:lvlText w:val=""/>
      <w:lvlJc w:val="left"/>
      <w:pPr>
        <w:ind w:left="5944" w:hanging="360"/>
      </w:pPr>
      <w:rPr>
        <w:rFonts w:ascii="Wingdings" w:hAnsi="Wingdings" w:hint="default"/>
      </w:rPr>
    </w:lvl>
    <w:lvl w:ilvl="6" w:tplc="04070001" w:tentative="1">
      <w:start w:val="1"/>
      <w:numFmt w:val="bullet"/>
      <w:lvlText w:val=""/>
      <w:lvlJc w:val="left"/>
      <w:pPr>
        <w:ind w:left="6664" w:hanging="360"/>
      </w:pPr>
      <w:rPr>
        <w:rFonts w:ascii="Symbol" w:hAnsi="Symbol" w:hint="default"/>
      </w:rPr>
    </w:lvl>
    <w:lvl w:ilvl="7" w:tplc="04070003" w:tentative="1">
      <w:start w:val="1"/>
      <w:numFmt w:val="bullet"/>
      <w:lvlText w:val="o"/>
      <w:lvlJc w:val="left"/>
      <w:pPr>
        <w:ind w:left="7384" w:hanging="360"/>
      </w:pPr>
      <w:rPr>
        <w:rFonts w:ascii="Courier New" w:hAnsi="Courier New" w:cs="Courier New" w:hint="default"/>
      </w:rPr>
    </w:lvl>
    <w:lvl w:ilvl="8" w:tplc="04070005" w:tentative="1">
      <w:start w:val="1"/>
      <w:numFmt w:val="bullet"/>
      <w:lvlText w:val=""/>
      <w:lvlJc w:val="left"/>
      <w:pPr>
        <w:ind w:left="8104" w:hanging="360"/>
      </w:pPr>
      <w:rPr>
        <w:rFonts w:ascii="Wingdings" w:hAnsi="Wingdings" w:hint="default"/>
      </w:rPr>
    </w:lvl>
  </w:abstractNum>
  <w:num w:numId="1" w16cid:durableId="1980956885">
    <w:abstractNumId w:val="9"/>
  </w:num>
  <w:num w:numId="2" w16cid:durableId="2140030546">
    <w:abstractNumId w:val="7"/>
  </w:num>
  <w:num w:numId="3" w16cid:durableId="798373899">
    <w:abstractNumId w:val="6"/>
  </w:num>
  <w:num w:numId="4" w16cid:durableId="685903398">
    <w:abstractNumId w:val="5"/>
  </w:num>
  <w:num w:numId="5" w16cid:durableId="1540239667">
    <w:abstractNumId w:val="4"/>
  </w:num>
  <w:num w:numId="6" w16cid:durableId="1703045314">
    <w:abstractNumId w:val="8"/>
  </w:num>
  <w:num w:numId="7" w16cid:durableId="684483690">
    <w:abstractNumId w:val="3"/>
  </w:num>
  <w:num w:numId="8" w16cid:durableId="71238847">
    <w:abstractNumId w:val="2"/>
  </w:num>
  <w:num w:numId="9" w16cid:durableId="356275611">
    <w:abstractNumId w:val="1"/>
  </w:num>
  <w:num w:numId="10" w16cid:durableId="1369261346">
    <w:abstractNumId w:val="0"/>
  </w:num>
  <w:num w:numId="11" w16cid:durableId="1413770241">
    <w:abstractNumId w:val="13"/>
  </w:num>
  <w:num w:numId="12" w16cid:durableId="478109801">
    <w:abstractNumId w:val="24"/>
  </w:num>
  <w:num w:numId="13" w16cid:durableId="1303316992">
    <w:abstractNumId w:val="22"/>
  </w:num>
  <w:num w:numId="14" w16cid:durableId="1366248689">
    <w:abstractNumId w:val="10"/>
  </w:num>
  <w:num w:numId="15" w16cid:durableId="633219324">
    <w:abstractNumId w:val="19"/>
  </w:num>
  <w:num w:numId="16" w16cid:durableId="1484348651">
    <w:abstractNumId w:val="18"/>
  </w:num>
  <w:num w:numId="17" w16cid:durableId="704840065">
    <w:abstractNumId w:val="25"/>
  </w:num>
  <w:num w:numId="18" w16cid:durableId="570576753">
    <w:abstractNumId w:val="15"/>
  </w:num>
  <w:num w:numId="19" w16cid:durableId="1717385555">
    <w:abstractNumId w:val="12"/>
  </w:num>
  <w:num w:numId="20" w16cid:durableId="1859271228">
    <w:abstractNumId w:val="21"/>
  </w:num>
  <w:num w:numId="21" w16cid:durableId="1057777094">
    <w:abstractNumId w:val="30"/>
  </w:num>
  <w:num w:numId="22" w16cid:durableId="247883329">
    <w:abstractNumId w:val="18"/>
  </w:num>
  <w:num w:numId="23" w16cid:durableId="182597435">
    <w:abstractNumId w:val="11"/>
  </w:num>
  <w:num w:numId="24" w16cid:durableId="402029750">
    <w:abstractNumId w:val="28"/>
  </w:num>
  <w:num w:numId="25" w16cid:durableId="1063143295">
    <w:abstractNumId w:val="16"/>
  </w:num>
  <w:num w:numId="26" w16cid:durableId="1808353362">
    <w:abstractNumId w:val="29"/>
  </w:num>
  <w:num w:numId="27" w16cid:durableId="2035301645">
    <w:abstractNumId w:val="14"/>
  </w:num>
  <w:num w:numId="28" w16cid:durableId="1478568626">
    <w:abstractNumId w:val="31"/>
  </w:num>
  <w:num w:numId="29" w16cid:durableId="783498612">
    <w:abstractNumId w:val="20"/>
  </w:num>
  <w:num w:numId="30" w16cid:durableId="1835415232">
    <w:abstractNumId w:val="23"/>
  </w:num>
  <w:num w:numId="31" w16cid:durableId="1616673053">
    <w:abstractNumId w:val="17"/>
  </w:num>
  <w:num w:numId="32" w16cid:durableId="943461871">
    <w:abstractNumId w:val="27"/>
  </w:num>
  <w:num w:numId="33" w16cid:durableId="9007557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3"/>
  <w:documentProtection w:edit="forms" w:enforcement="0"/>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505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4972"/>
    <w:rsid w:val="000011AE"/>
    <w:rsid w:val="00011287"/>
    <w:rsid w:val="00012E7C"/>
    <w:rsid w:val="000148D4"/>
    <w:rsid w:val="000306F8"/>
    <w:rsid w:val="00037C25"/>
    <w:rsid w:val="000416FB"/>
    <w:rsid w:val="000456C4"/>
    <w:rsid w:val="00051074"/>
    <w:rsid w:val="00071696"/>
    <w:rsid w:val="00071AE1"/>
    <w:rsid w:val="000830E8"/>
    <w:rsid w:val="000834E2"/>
    <w:rsid w:val="00086948"/>
    <w:rsid w:val="00087120"/>
    <w:rsid w:val="00091EFF"/>
    <w:rsid w:val="00096F7C"/>
    <w:rsid w:val="000A1307"/>
    <w:rsid w:val="000B1657"/>
    <w:rsid w:val="000C53CD"/>
    <w:rsid w:val="000E791F"/>
    <w:rsid w:val="000F0770"/>
    <w:rsid w:val="000F1F42"/>
    <w:rsid w:val="00112EBD"/>
    <w:rsid w:val="0013427E"/>
    <w:rsid w:val="00134724"/>
    <w:rsid w:val="00135407"/>
    <w:rsid w:val="001536D6"/>
    <w:rsid w:val="00166486"/>
    <w:rsid w:val="00171A01"/>
    <w:rsid w:val="0018418C"/>
    <w:rsid w:val="00194AE9"/>
    <w:rsid w:val="001A2D09"/>
    <w:rsid w:val="001A5B29"/>
    <w:rsid w:val="001C0897"/>
    <w:rsid w:val="001F3B4E"/>
    <w:rsid w:val="001F552D"/>
    <w:rsid w:val="00215ACF"/>
    <w:rsid w:val="00217D79"/>
    <w:rsid w:val="00222F26"/>
    <w:rsid w:val="0023733B"/>
    <w:rsid w:val="00261924"/>
    <w:rsid w:val="00266BFC"/>
    <w:rsid w:val="002733C2"/>
    <w:rsid w:val="00275464"/>
    <w:rsid w:val="00291A03"/>
    <w:rsid w:val="002A2C64"/>
    <w:rsid w:val="002C1DAC"/>
    <w:rsid w:val="002C531A"/>
    <w:rsid w:val="002D4BD4"/>
    <w:rsid w:val="002D4F1B"/>
    <w:rsid w:val="002E1188"/>
    <w:rsid w:val="002E17AE"/>
    <w:rsid w:val="002F48C2"/>
    <w:rsid w:val="0030008F"/>
    <w:rsid w:val="0031144A"/>
    <w:rsid w:val="00311DC4"/>
    <w:rsid w:val="00312CD2"/>
    <w:rsid w:val="00317A0D"/>
    <w:rsid w:val="00320630"/>
    <w:rsid w:val="003254A4"/>
    <w:rsid w:val="003267DC"/>
    <w:rsid w:val="0034095A"/>
    <w:rsid w:val="00352399"/>
    <w:rsid w:val="00356854"/>
    <w:rsid w:val="00357841"/>
    <w:rsid w:val="00364803"/>
    <w:rsid w:val="00375C01"/>
    <w:rsid w:val="00381A37"/>
    <w:rsid w:val="003950C3"/>
    <w:rsid w:val="00396B7F"/>
    <w:rsid w:val="003B385B"/>
    <w:rsid w:val="003F0EA8"/>
    <w:rsid w:val="003F37E1"/>
    <w:rsid w:val="00402069"/>
    <w:rsid w:val="004121CC"/>
    <w:rsid w:val="0041448E"/>
    <w:rsid w:val="0041695E"/>
    <w:rsid w:val="00432F96"/>
    <w:rsid w:val="00440F94"/>
    <w:rsid w:val="00442B78"/>
    <w:rsid w:val="00455388"/>
    <w:rsid w:val="0048477A"/>
    <w:rsid w:val="00485CE1"/>
    <w:rsid w:val="00485F08"/>
    <w:rsid w:val="00487291"/>
    <w:rsid w:val="00490527"/>
    <w:rsid w:val="00491792"/>
    <w:rsid w:val="00494747"/>
    <w:rsid w:val="004972CE"/>
    <w:rsid w:val="004B1D80"/>
    <w:rsid w:val="004C3A7C"/>
    <w:rsid w:val="004E0526"/>
    <w:rsid w:val="005119D6"/>
    <w:rsid w:val="005162D5"/>
    <w:rsid w:val="00516845"/>
    <w:rsid w:val="005207E5"/>
    <w:rsid w:val="00521DE3"/>
    <w:rsid w:val="00530CD4"/>
    <w:rsid w:val="00531B8A"/>
    <w:rsid w:val="00532A7C"/>
    <w:rsid w:val="00534A38"/>
    <w:rsid w:val="005445AA"/>
    <w:rsid w:val="005465F1"/>
    <w:rsid w:val="00547383"/>
    <w:rsid w:val="00562CA9"/>
    <w:rsid w:val="0056573D"/>
    <w:rsid w:val="0056611A"/>
    <w:rsid w:val="0059103B"/>
    <w:rsid w:val="005973DF"/>
    <w:rsid w:val="005A0705"/>
    <w:rsid w:val="005A6F02"/>
    <w:rsid w:val="005B7639"/>
    <w:rsid w:val="005C06E5"/>
    <w:rsid w:val="005C29CA"/>
    <w:rsid w:val="005D42C8"/>
    <w:rsid w:val="005D570D"/>
    <w:rsid w:val="005D685B"/>
    <w:rsid w:val="005E65BF"/>
    <w:rsid w:val="005F07B2"/>
    <w:rsid w:val="005F456E"/>
    <w:rsid w:val="0060357B"/>
    <w:rsid w:val="00613559"/>
    <w:rsid w:val="006322B5"/>
    <w:rsid w:val="00634832"/>
    <w:rsid w:val="00641BDD"/>
    <w:rsid w:val="00645694"/>
    <w:rsid w:val="00656C63"/>
    <w:rsid w:val="00661F6F"/>
    <w:rsid w:val="0066488B"/>
    <w:rsid w:val="00673872"/>
    <w:rsid w:val="006B02B0"/>
    <w:rsid w:val="006C2CBB"/>
    <w:rsid w:val="006D748A"/>
    <w:rsid w:val="006E3789"/>
    <w:rsid w:val="006F441F"/>
    <w:rsid w:val="007027F5"/>
    <w:rsid w:val="007314F4"/>
    <w:rsid w:val="00734021"/>
    <w:rsid w:val="00747909"/>
    <w:rsid w:val="007649E0"/>
    <w:rsid w:val="007804EC"/>
    <w:rsid w:val="00785FB0"/>
    <w:rsid w:val="007946DC"/>
    <w:rsid w:val="007B115D"/>
    <w:rsid w:val="007C5C15"/>
    <w:rsid w:val="007E6F53"/>
    <w:rsid w:val="00810286"/>
    <w:rsid w:val="00820C2A"/>
    <w:rsid w:val="00822EA2"/>
    <w:rsid w:val="00833551"/>
    <w:rsid w:val="00836124"/>
    <w:rsid w:val="00836386"/>
    <w:rsid w:val="00841E99"/>
    <w:rsid w:val="0085371C"/>
    <w:rsid w:val="00861AFF"/>
    <w:rsid w:val="00870451"/>
    <w:rsid w:val="00890467"/>
    <w:rsid w:val="008C0B9E"/>
    <w:rsid w:val="008F28E4"/>
    <w:rsid w:val="008F2E7F"/>
    <w:rsid w:val="009261A7"/>
    <w:rsid w:val="00927AAD"/>
    <w:rsid w:val="00931804"/>
    <w:rsid w:val="00936BF8"/>
    <w:rsid w:val="0097239C"/>
    <w:rsid w:val="00972E8E"/>
    <w:rsid w:val="00983B16"/>
    <w:rsid w:val="00987B8A"/>
    <w:rsid w:val="009B2ABD"/>
    <w:rsid w:val="009B2C39"/>
    <w:rsid w:val="009B7A09"/>
    <w:rsid w:val="009C083A"/>
    <w:rsid w:val="009E1627"/>
    <w:rsid w:val="00A00193"/>
    <w:rsid w:val="00A15C13"/>
    <w:rsid w:val="00A1761E"/>
    <w:rsid w:val="00A2027B"/>
    <w:rsid w:val="00A26115"/>
    <w:rsid w:val="00A32C70"/>
    <w:rsid w:val="00A34302"/>
    <w:rsid w:val="00A3692B"/>
    <w:rsid w:val="00A55CE8"/>
    <w:rsid w:val="00A5657C"/>
    <w:rsid w:val="00A606C3"/>
    <w:rsid w:val="00A646DD"/>
    <w:rsid w:val="00A82C12"/>
    <w:rsid w:val="00A8530C"/>
    <w:rsid w:val="00AA48FB"/>
    <w:rsid w:val="00AA4E21"/>
    <w:rsid w:val="00AC207C"/>
    <w:rsid w:val="00AC4972"/>
    <w:rsid w:val="00AE66F0"/>
    <w:rsid w:val="00AE7978"/>
    <w:rsid w:val="00AF402D"/>
    <w:rsid w:val="00B237F2"/>
    <w:rsid w:val="00B329FA"/>
    <w:rsid w:val="00B44185"/>
    <w:rsid w:val="00B5029E"/>
    <w:rsid w:val="00B5139B"/>
    <w:rsid w:val="00B53F5E"/>
    <w:rsid w:val="00B73DDD"/>
    <w:rsid w:val="00B753C9"/>
    <w:rsid w:val="00B767B4"/>
    <w:rsid w:val="00B935A5"/>
    <w:rsid w:val="00B96E23"/>
    <w:rsid w:val="00BB6754"/>
    <w:rsid w:val="00BC0C64"/>
    <w:rsid w:val="00BD6257"/>
    <w:rsid w:val="00BF5EE1"/>
    <w:rsid w:val="00C171D9"/>
    <w:rsid w:val="00C25455"/>
    <w:rsid w:val="00C35A7C"/>
    <w:rsid w:val="00C35B30"/>
    <w:rsid w:val="00C41718"/>
    <w:rsid w:val="00C41A96"/>
    <w:rsid w:val="00C41CEB"/>
    <w:rsid w:val="00C558C5"/>
    <w:rsid w:val="00C56EA7"/>
    <w:rsid w:val="00C62461"/>
    <w:rsid w:val="00C63E4A"/>
    <w:rsid w:val="00C6538A"/>
    <w:rsid w:val="00C73096"/>
    <w:rsid w:val="00C74CB5"/>
    <w:rsid w:val="00C766B9"/>
    <w:rsid w:val="00C776A7"/>
    <w:rsid w:val="00C778CE"/>
    <w:rsid w:val="00C85F6A"/>
    <w:rsid w:val="00CB07D4"/>
    <w:rsid w:val="00CB09CA"/>
    <w:rsid w:val="00CC77BC"/>
    <w:rsid w:val="00CD77DF"/>
    <w:rsid w:val="00CE49AC"/>
    <w:rsid w:val="00CE672E"/>
    <w:rsid w:val="00CE7B4F"/>
    <w:rsid w:val="00CF3EEA"/>
    <w:rsid w:val="00D031C2"/>
    <w:rsid w:val="00D12A84"/>
    <w:rsid w:val="00D1470B"/>
    <w:rsid w:val="00D24608"/>
    <w:rsid w:val="00D363EE"/>
    <w:rsid w:val="00D36801"/>
    <w:rsid w:val="00D40FE2"/>
    <w:rsid w:val="00D43C77"/>
    <w:rsid w:val="00D66B0B"/>
    <w:rsid w:val="00D67EF3"/>
    <w:rsid w:val="00D72872"/>
    <w:rsid w:val="00D912A9"/>
    <w:rsid w:val="00DA0159"/>
    <w:rsid w:val="00DA10F6"/>
    <w:rsid w:val="00DA1259"/>
    <w:rsid w:val="00DB1FCD"/>
    <w:rsid w:val="00DB56AE"/>
    <w:rsid w:val="00DC0664"/>
    <w:rsid w:val="00DC7C1A"/>
    <w:rsid w:val="00DD0DE0"/>
    <w:rsid w:val="00DD5321"/>
    <w:rsid w:val="00DD65D5"/>
    <w:rsid w:val="00DF100F"/>
    <w:rsid w:val="00DF1694"/>
    <w:rsid w:val="00DF38F4"/>
    <w:rsid w:val="00E040B6"/>
    <w:rsid w:val="00E0454F"/>
    <w:rsid w:val="00E22E0F"/>
    <w:rsid w:val="00E25C01"/>
    <w:rsid w:val="00E3479B"/>
    <w:rsid w:val="00E45DFE"/>
    <w:rsid w:val="00E506B6"/>
    <w:rsid w:val="00E51004"/>
    <w:rsid w:val="00E51C0E"/>
    <w:rsid w:val="00E6522B"/>
    <w:rsid w:val="00E75DB7"/>
    <w:rsid w:val="00EA0E32"/>
    <w:rsid w:val="00EA3131"/>
    <w:rsid w:val="00EC2A4C"/>
    <w:rsid w:val="00EE2279"/>
    <w:rsid w:val="00EE386E"/>
    <w:rsid w:val="00F37AC6"/>
    <w:rsid w:val="00F4558D"/>
    <w:rsid w:val="00F5504A"/>
    <w:rsid w:val="00F67FD5"/>
    <w:rsid w:val="00F831EE"/>
    <w:rsid w:val="00F84427"/>
    <w:rsid w:val="00FA4AD3"/>
    <w:rsid w:val="00FE624F"/>
    <w:rsid w:val="00FF243F"/>
    <w:rsid w:val="00FF309D"/>
  </w:rsids>
  <m:mathPr>
    <m:mathFont m:val="Cambria Math"/>
    <m:brkBin m:val="before"/>
    <m:brkBinSub m:val="--"/>
    <m:smallFrac m:val="0"/>
    <m:dispDef/>
    <m:lMargin m:val="0"/>
    <m:rMargin m:val="0"/>
    <m:defJc m:val="centerGroup"/>
    <m:wrapIndent m:val="1440"/>
    <m:intLim m:val="subSup"/>
    <m:naryLim m:val="undOvr"/>
  </m:mathPr>
  <w:themeFontLang w:val="de-DE"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969696"/>
    </o:shapedefaults>
    <o:shapelayout v:ext="edit">
      <o:idmap v:ext="edit" data="1"/>
    </o:shapelayout>
  </w:shapeDefaults>
  <w:decimalSymbol w:val=","/>
  <w:listSeparator w:val=";"/>
  <w14:docId w14:val="6D27899F"/>
  <w15:docId w15:val="{A83B3E8B-5712-42BD-87DA-5A6D1E06A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67FD5"/>
  </w:style>
  <w:style w:type="paragraph" w:styleId="berschrift1">
    <w:name w:val="heading 1"/>
    <w:basedOn w:val="Standard"/>
    <w:next w:val="Standard"/>
    <w:qFormat/>
    <w:rsid w:val="00AA4E21"/>
    <w:pPr>
      <w:keepNext/>
      <w:tabs>
        <w:tab w:val="left" w:pos="851"/>
      </w:tabs>
      <w:spacing w:before="360"/>
      <w:outlineLvl w:val="0"/>
    </w:pPr>
    <w:rPr>
      <w:b/>
      <w:color w:val="0050A0" w:themeColor="background2"/>
      <w:sz w:val="28"/>
    </w:rPr>
  </w:style>
  <w:style w:type="paragraph" w:styleId="berschrift2">
    <w:name w:val="heading 2"/>
    <w:basedOn w:val="berschrift1"/>
    <w:next w:val="Standard"/>
    <w:qFormat/>
    <w:rsid w:val="00442B78"/>
    <w:pPr>
      <w:tabs>
        <w:tab w:val="left" w:pos="425"/>
      </w:tabs>
      <w:spacing w:before="300"/>
      <w:outlineLvl w:val="1"/>
    </w:pPr>
    <w:rPr>
      <w:rFonts w:cs="Arial"/>
      <w:b w:val="0"/>
      <w:bCs/>
      <w:iCs/>
      <w:szCs w:val="28"/>
    </w:rPr>
  </w:style>
  <w:style w:type="paragraph" w:styleId="berschrift3">
    <w:name w:val="heading 3"/>
    <w:basedOn w:val="berschrift1"/>
    <w:next w:val="Standard"/>
    <w:qFormat/>
    <w:rsid w:val="00442B78"/>
    <w:pPr>
      <w:spacing w:before="240"/>
      <w:outlineLvl w:val="2"/>
    </w:pPr>
    <w:rPr>
      <w:caps/>
      <w:color w:val="000000"/>
      <w:sz w:val="24"/>
    </w:rPr>
  </w:style>
  <w:style w:type="paragraph" w:styleId="berschrift4">
    <w:name w:val="heading 4"/>
    <w:basedOn w:val="berschrift1"/>
    <w:next w:val="Standard"/>
    <w:link w:val="berschrift4Zchn"/>
    <w:rsid w:val="00442B78"/>
    <w:pPr>
      <w:keepLines/>
      <w:spacing w:before="200"/>
      <w:outlineLvl w:val="3"/>
    </w:pPr>
    <w:rPr>
      <w:rFonts w:eastAsiaTheme="majorEastAsia" w:cstheme="majorBidi"/>
      <w:bCs/>
      <w:iCs/>
      <w:color w:val="0050A0"/>
      <w:sz w:val="22"/>
    </w:rPr>
  </w:style>
  <w:style w:type="paragraph" w:styleId="berschrift5">
    <w:name w:val="heading 5"/>
    <w:basedOn w:val="berschrift4"/>
    <w:next w:val="Standard"/>
    <w:link w:val="berschrift5Zchn"/>
    <w:rsid w:val="00D12A84"/>
    <w:pPr>
      <w:outlineLvl w:val="4"/>
    </w:pPr>
    <w:rPr>
      <w:color w:val="000000"/>
    </w:rPr>
  </w:style>
  <w:style w:type="paragraph" w:styleId="berschrift6">
    <w:name w:val="heading 6"/>
    <w:basedOn w:val="berschrift5"/>
    <w:next w:val="Standard"/>
    <w:link w:val="berschrift6Zchn"/>
    <w:rsid w:val="00D12A84"/>
    <w:pPr>
      <w:outlineLvl w:val="5"/>
    </w:pPr>
    <w:rPr>
      <w:b w:val="0"/>
      <w:iCs w:val="0"/>
      <w:u w:val="single"/>
    </w:rPr>
  </w:style>
  <w:style w:type="paragraph" w:styleId="berschrift7">
    <w:name w:val="heading 7"/>
    <w:basedOn w:val="berschrift5"/>
    <w:next w:val="Standard"/>
    <w:link w:val="berschrift7Zchn"/>
    <w:rsid w:val="00D12A84"/>
    <w:pPr>
      <w:outlineLvl w:val="6"/>
    </w:pPr>
    <w:rPr>
      <w:b w:val="0"/>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F67FD5"/>
    <w:pPr>
      <w:tabs>
        <w:tab w:val="center" w:pos="4536"/>
        <w:tab w:val="right" w:pos="9072"/>
      </w:tabs>
    </w:pPr>
    <w:rPr>
      <w:b/>
      <w:sz w:val="28"/>
    </w:rPr>
  </w:style>
  <w:style w:type="paragraph" w:styleId="Fuzeile">
    <w:name w:val="footer"/>
    <w:basedOn w:val="Standard"/>
    <w:link w:val="FuzeileZchn"/>
    <w:rsid w:val="00B753C9"/>
    <w:pPr>
      <w:tabs>
        <w:tab w:val="left" w:pos="2835"/>
        <w:tab w:val="left" w:pos="4536"/>
        <w:tab w:val="right" w:pos="9781"/>
      </w:tabs>
    </w:pPr>
    <w:rPr>
      <w:sz w:val="18"/>
    </w:rPr>
  </w:style>
  <w:style w:type="numbering" w:customStyle="1" w:styleId="FormatvorlageNummerierteListe">
    <w:name w:val="Formatvorlage Nummerierte Liste"/>
    <w:basedOn w:val="KeineListe"/>
    <w:rsid w:val="00A1761E"/>
    <w:pPr>
      <w:numPr>
        <w:numId w:val="18"/>
      </w:numPr>
    </w:pPr>
  </w:style>
  <w:style w:type="character" w:styleId="Hyperlink">
    <w:name w:val="Hyperlink"/>
    <w:uiPriority w:val="99"/>
    <w:qFormat/>
    <w:rsid w:val="00AA4E21"/>
    <w:rPr>
      <w:rFonts w:ascii="Calibri" w:hAnsi="Calibri"/>
      <w:color w:val="0050A0" w:themeColor="background2"/>
      <w:sz w:val="22"/>
      <w:u w:val="single"/>
    </w:rPr>
  </w:style>
  <w:style w:type="character" w:customStyle="1" w:styleId="KopfzeileZchn">
    <w:name w:val="Kopfzeile Zchn"/>
    <w:link w:val="Kopfzeile"/>
    <w:rsid w:val="00F67FD5"/>
    <w:rPr>
      <w:b/>
      <w:sz w:val="28"/>
    </w:rPr>
  </w:style>
  <w:style w:type="character" w:customStyle="1" w:styleId="FuzeileZchn">
    <w:name w:val="Fußzeile Zchn"/>
    <w:link w:val="Fuzeile"/>
    <w:rsid w:val="00B753C9"/>
    <w:rPr>
      <w:sz w:val="18"/>
    </w:rPr>
  </w:style>
  <w:style w:type="paragraph" w:styleId="Aufzhlungszeichen">
    <w:name w:val="List Bullet"/>
    <w:basedOn w:val="Standard"/>
    <w:qFormat/>
    <w:rsid w:val="00D12A84"/>
    <w:pPr>
      <w:numPr>
        <w:numId w:val="1"/>
      </w:numPr>
      <w:tabs>
        <w:tab w:val="left" w:pos="357"/>
      </w:tabs>
      <w:ind w:left="357" w:hanging="357"/>
      <w:contextualSpacing/>
    </w:pPr>
  </w:style>
  <w:style w:type="table" w:styleId="Tabellenraster">
    <w:name w:val="Table Grid"/>
    <w:aliases w:val="Schmalz - Standard"/>
    <w:basedOn w:val="NormaleTabelle"/>
    <w:rsid w:val="005F456E"/>
    <w:tblPr>
      <w:tblStyleRowBandSize w:val="1"/>
      <w:tblStyleColBandSize w:val="1"/>
      <w:tblInd w:w="57" w:type="dxa"/>
      <w:tblBorders>
        <w:insideV w:val="single" w:sz="2" w:space="0" w:color="auto"/>
      </w:tblBorders>
      <w:tblCellMar>
        <w:top w:w="28" w:type="dxa"/>
        <w:left w:w="57" w:type="dxa"/>
        <w:bottom w:w="28" w:type="dxa"/>
        <w:right w:w="57" w:type="dxa"/>
      </w:tblCellMar>
    </w:tblPr>
    <w:tblStylePr w:type="firstRow">
      <w:pPr>
        <w:wordWrap/>
        <w:spacing w:beforeLines="0" w:before="0" w:beforeAutospacing="0" w:afterLines="0" w:after="0" w:afterAutospacing="0" w:line="240" w:lineRule="auto"/>
      </w:pPr>
      <w:rPr>
        <w:rFonts w:ascii="Calibri" w:hAnsi="Calibri"/>
        <w:b/>
        <w:color w:val="000000" w:themeColor="text1"/>
        <w:sz w:val="22"/>
      </w:rPr>
      <w:tblPr/>
      <w:tcPr>
        <w:tcBorders>
          <w:top w:val="nil"/>
          <w:left w:val="nil"/>
          <w:bottom w:val="single" w:sz="2" w:space="0" w:color="auto"/>
          <w:right w:val="nil"/>
          <w:insideH w:val="nil"/>
          <w:insideV w:val="single" w:sz="2" w:space="0" w:color="auto"/>
          <w:tl2br w:val="nil"/>
          <w:tr2bl w:val="nil"/>
        </w:tcBorders>
        <w:shd w:val="clear" w:color="auto" w:fill="FFFFFF" w:themeFill="background1"/>
      </w:tcPr>
    </w:tblStylePr>
    <w:tblStylePr w:type="lastRow">
      <w:rPr>
        <w:rFonts w:ascii="Calibri" w:hAnsi="Calibri"/>
        <w:b/>
      </w:rPr>
      <w:tblPr/>
      <w:tcPr>
        <w:tcBorders>
          <w:top w:val="single" w:sz="12" w:space="0" w:color="auto"/>
        </w:tcBorders>
      </w:tcPr>
    </w:tblStylePr>
    <w:tblStylePr w:type="band1Horz">
      <w:tblPr/>
      <w:tcPr>
        <w:shd w:val="clear" w:color="auto" w:fill="F0F0F0" w:themeFill="accent6"/>
      </w:tcPr>
    </w:tblStylePr>
    <w:tblStylePr w:type="band2Horz">
      <w:rPr>
        <w:color w:val="auto"/>
      </w:rPr>
    </w:tblStylePr>
  </w:style>
  <w:style w:type="table" w:customStyle="1" w:styleId="Schmalz-grau">
    <w:name w:val="Schmalz - grau"/>
    <w:basedOn w:val="NormaleTabelle"/>
    <w:uiPriority w:val="99"/>
    <w:rsid w:val="00171A01"/>
    <w:tblPr>
      <w:tblStyleRowBandSize w:val="1"/>
      <w:tblInd w:w="57" w:type="dxa"/>
      <w:tblBorders>
        <w:insideV w:val="single" w:sz="2" w:space="0" w:color="6F7072"/>
      </w:tblBorders>
      <w:tblCellMar>
        <w:top w:w="28" w:type="dxa"/>
        <w:left w:w="57" w:type="dxa"/>
        <w:bottom w:w="28" w:type="dxa"/>
        <w:right w:w="57" w:type="dxa"/>
      </w:tblCellMar>
    </w:tblPr>
    <w:tblStylePr w:type="firstRow">
      <w:rPr>
        <w:rFonts w:ascii="Arial" w:hAnsi="Arial"/>
        <w:b/>
        <w:color w:val="auto"/>
      </w:rPr>
      <w:tblPr/>
      <w:tcPr>
        <w:shd w:val="clear" w:color="auto" w:fill="C4C5C6"/>
      </w:tcPr>
    </w:tblStylePr>
    <w:tblStylePr w:type="lastRow">
      <w:rPr>
        <w:rFonts w:ascii="Arial" w:hAnsi="Arial"/>
        <w:b/>
      </w:rPr>
      <w:tblPr/>
      <w:tcPr>
        <w:tcBorders>
          <w:top w:val="single" w:sz="2" w:space="0" w:color="6F7072"/>
        </w:tcBorders>
      </w:tcPr>
    </w:tblStylePr>
    <w:tblStylePr w:type="band2Horz">
      <w:tblPr/>
      <w:tcPr>
        <w:shd w:val="clear" w:color="auto" w:fill="EBECEC"/>
      </w:tcPr>
    </w:tblStylePr>
  </w:style>
  <w:style w:type="character" w:styleId="BesuchterLink">
    <w:name w:val="FollowedHyperlink"/>
    <w:basedOn w:val="Absatz-Standardschriftart"/>
    <w:rsid w:val="00D12A84"/>
    <w:rPr>
      <w:rFonts w:ascii="Calibri" w:hAnsi="Calibri"/>
      <w:color w:val="505050"/>
      <w:sz w:val="22"/>
      <w:u w:val="single"/>
    </w:rPr>
  </w:style>
  <w:style w:type="table" w:styleId="TabelleAktuell">
    <w:name w:val="Table Contemporary"/>
    <w:basedOn w:val="NormaleTabelle"/>
    <w:rsid w:val="00562C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berschrift4Zchn">
    <w:name w:val="Überschrift 4 Zchn"/>
    <w:basedOn w:val="Absatz-Standardschriftart"/>
    <w:link w:val="berschrift4"/>
    <w:rsid w:val="00442B78"/>
    <w:rPr>
      <w:rFonts w:eastAsiaTheme="majorEastAsia" w:cstheme="majorBidi"/>
      <w:b/>
      <w:bCs/>
      <w:iCs/>
      <w:color w:val="0050A0"/>
    </w:rPr>
  </w:style>
  <w:style w:type="character" w:customStyle="1" w:styleId="berschrift5Zchn">
    <w:name w:val="Überschrift 5 Zchn"/>
    <w:basedOn w:val="Absatz-Standardschriftart"/>
    <w:link w:val="berschrift5"/>
    <w:rsid w:val="00D12A84"/>
    <w:rPr>
      <w:rFonts w:eastAsiaTheme="majorEastAsia" w:cstheme="majorBidi"/>
      <w:b/>
      <w:bCs/>
      <w:iCs/>
      <w:color w:val="000000"/>
    </w:rPr>
  </w:style>
  <w:style w:type="character" w:customStyle="1" w:styleId="berschrift6Zchn">
    <w:name w:val="Überschrift 6 Zchn"/>
    <w:basedOn w:val="Absatz-Standardschriftart"/>
    <w:link w:val="berschrift6"/>
    <w:rsid w:val="00D12A84"/>
    <w:rPr>
      <w:rFonts w:eastAsiaTheme="majorEastAsia" w:cstheme="majorBidi"/>
      <w:bCs/>
      <w:color w:val="000000"/>
      <w:u w:val="single"/>
    </w:rPr>
  </w:style>
  <w:style w:type="paragraph" w:styleId="Inhaltsverzeichnisberschrift">
    <w:name w:val="TOC Heading"/>
    <w:basedOn w:val="berschrift1"/>
    <w:next w:val="Standard"/>
    <w:uiPriority w:val="39"/>
    <w:semiHidden/>
    <w:unhideWhenUsed/>
    <w:qFormat/>
    <w:rsid w:val="001F552D"/>
    <w:pPr>
      <w:keepLines/>
      <w:tabs>
        <w:tab w:val="clear" w:pos="851"/>
      </w:tabs>
      <w:spacing w:before="480" w:line="276" w:lineRule="auto"/>
      <w:outlineLvl w:val="9"/>
    </w:pPr>
    <w:rPr>
      <w:rFonts w:asciiTheme="majorHAnsi" w:eastAsiaTheme="majorEastAsia" w:hAnsiTheme="majorHAnsi" w:cstheme="majorBidi"/>
      <w:bCs/>
      <w:color w:val="325D90" w:themeColor="accent1" w:themeShade="BF"/>
      <w:szCs w:val="28"/>
    </w:rPr>
  </w:style>
  <w:style w:type="paragraph" w:styleId="Verzeichnis1">
    <w:name w:val="toc 1"/>
    <w:basedOn w:val="Standard"/>
    <w:next w:val="Standard"/>
    <w:autoRedefine/>
    <w:uiPriority w:val="39"/>
    <w:rsid w:val="001F552D"/>
    <w:pPr>
      <w:spacing w:after="100"/>
    </w:pPr>
  </w:style>
  <w:style w:type="paragraph" w:styleId="Verzeichnis2">
    <w:name w:val="toc 2"/>
    <w:basedOn w:val="Standard"/>
    <w:next w:val="Standard"/>
    <w:autoRedefine/>
    <w:uiPriority w:val="39"/>
    <w:rsid w:val="001F552D"/>
    <w:pPr>
      <w:spacing w:after="100"/>
      <w:ind w:left="200"/>
    </w:pPr>
  </w:style>
  <w:style w:type="paragraph" w:styleId="Verzeichnis3">
    <w:name w:val="toc 3"/>
    <w:basedOn w:val="Standard"/>
    <w:next w:val="Standard"/>
    <w:autoRedefine/>
    <w:uiPriority w:val="39"/>
    <w:rsid w:val="001F552D"/>
    <w:pPr>
      <w:spacing w:after="100"/>
      <w:ind w:left="400"/>
    </w:pPr>
  </w:style>
  <w:style w:type="paragraph" w:styleId="Sprechblasentext">
    <w:name w:val="Balloon Text"/>
    <w:basedOn w:val="Standard"/>
    <w:link w:val="SprechblasentextZchn"/>
    <w:rsid w:val="0031144A"/>
    <w:rPr>
      <w:rFonts w:cs="Tahoma"/>
      <w:sz w:val="18"/>
      <w:szCs w:val="16"/>
    </w:rPr>
  </w:style>
  <w:style w:type="character" w:customStyle="1" w:styleId="SprechblasentextZchn">
    <w:name w:val="Sprechblasentext Zchn"/>
    <w:basedOn w:val="Absatz-Standardschriftart"/>
    <w:link w:val="Sprechblasentext"/>
    <w:rsid w:val="0031144A"/>
    <w:rPr>
      <w:rFonts w:cs="Tahoma"/>
      <w:sz w:val="18"/>
      <w:szCs w:val="16"/>
    </w:rPr>
  </w:style>
  <w:style w:type="table" w:customStyle="1" w:styleId="WeiohneLinien-Bildeinfgen">
    <w:name w:val="Weiß ohne Linien - Bild einfügen"/>
    <w:basedOn w:val="NormaleTabelle"/>
    <w:uiPriority w:val="99"/>
    <w:rsid w:val="000F0770"/>
    <w:tblPr>
      <w:tblCellMar>
        <w:left w:w="0" w:type="dxa"/>
        <w:right w:w="0" w:type="dxa"/>
      </w:tblCellMar>
    </w:tblPr>
  </w:style>
  <w:style w:type="character" w:customStyle="1" w:styleId="berschrift7Zchn">
    <w:name w:val="Überschrift 7 Zchn"/>
    <w:basedOn w:val="Absatz-Standardschriftart"/>
    <w:link w:val="berschrift7"/>
    <w:rsid w:val="00D12A84"/>
    <w:rPr>
      <w:rFonts w:eastAsiaTheme="majorEastAsia" w:cstheme="majorBidi"/>
      <w:bCs/>
      <w:color w:val="000000"/>
    </w:rPr>
  </w:style>
  <w:style w:type="table" w:customStyle="1" w:styleId="Schmalz-LinienBlau">
    <w:name w:val="Schmalz - Linien (Blau)"/>
    <w:basedOn w:val="NormaleTabelle"/>
    <w:uiPriority w:val="99"/>
    <w:rsid w:val="00B935A5"/>
    <w:tblPr>
      <w:tblInd w:w="57" w:type="dxa"/>
      <w:tblBorders>
        <w:insideH w:val="single" w:sz="2" w:space="0" w:color="auto"/>
        <w:insideV w:val="single" w:sz="2" w:space="0" w:color="auto"/>
      </w:tblBorders>
      <w:tblCellMar>
        <w:top w:w="28" w:type="dxa"/>
        <w:left w:w="57" w:type="dxa"/>
        <w:bottom w:w="28" w:type="dxa"/>
        <w:right w:w="57" w:type="dxa"/>
      </w:tblCellMar>
    </w:tblPr>
    <w:tblStylePr w:type="firstRow">
      <w:rPr>
        <w:b/>
      </w:rPr>
    </w:tblStylePr>
  </w:style>
  <w:style w:type="character" w:styleId="Platzhaltertext">
    <w:name w:val="Placeholder Text"/>
    <w:basedOn w:val="Absatz-Standardschriftart"/>
    <w:uiPriority w:val="99"/>
    <w:semiHidden/>
    <w:rsid w:val="00890467"/>
    <w:rPr>
      <w:color w:val="808080"/>
    </w:rPr>
  </w:style>
  <w:style w:type="table" w:styleId="TabelleFarbig2">
    <w:name w:val="Table Colorful 2"/>
    <w:basedOn w:val="NormaleTabelle"/>
    <w:rsid w:val="00B935A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3D-Effekt3">
    <w:name w:val="Table 3D effects 3"/>
    <w:basedOn w:val="NormaleTabelle"/>
    <w:rsid w:val="000C53C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1">
    <w:name w:val="Table 3D effects 1"/>
    <w:basedOn w:val="NormaleTabelle"/>
    <w:rsid w:val="00317A0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Listenabsatz">
    <w:name w:val="List Paragraph"/>
    <w:basedOn w:val="Standard"/>
    <w:uiPriority w:val="34"/>
    <w:rsid w:val="002E1188"/>
    <w:pPr>
      <w:ind w:left="720"/>
      <w:contextualSpacing/>
    </w:pPr>
  </w:style>
  <w:style w:type="paragraph" w:customStyle="1" w:styleId="Zeichen">
    <w:name w:val="Zeichen"/>
    <w:basedOn w:val="Standard"/>
    <w:next w:val="berschrift4"/>
    <w:rsid w:val="00A34302"/>
    <w:pPr>
      <w:overflowPunct w:val="0"/>
      <w:autoSpaceDE w:val="0"/>
      <w:autoSpaceDN w:val="0"/>
      <w:adjustRightInd w:val="0"/>
      <w:spacing w:line="360" w:lineRule="auto"/>
      <w:textAlignment w:val="baseline"/>
    </w:pPr>
    <w:rPr>
      <w:rFonts w:ascii="Arial" w:hAnsi="Arial"/>
      <w:i/>
      <w:sz w:val="20"/>
      <w:szCs w:val="20"/>
    </w:rPr>
  </w:style>
  <w:style w:type="paragraph" w:styleId="berarbeitung">
    <w:name w:val="Revision"/>
    <w:hidden/>
    <w:uiPriority w:val="99"/>
    <w:semiHidden/>
    <w:rsid w:val="0097239C"/>
  </w:style>
  <w:style w:type="character" w:styleId="Kommentarzeichen">
    <w:name w:val="annotation reference"/>
    <w:basedOn w:val="Absatz-Standardschriftart"/>
    <w:semiHidden/>
    <w:unhideWhenUsed/>
    <w:rsid w:val="00402069"/>
    <w:rPr>
      <w:sz w:val="16"/>
      <w:szCs w:val="16"/>
    </w:rPr>
  </w:style>
  <w:style w:type="paragraph" w:styleId="Kommentartext">
    <w:name w:val="annotation text"/>
    <w:basedOn w:val="Standard"/>
    <w:link w:val="KommentartextZchn"/>
    <w:semiHidden/>
    <w:unhideWhenUsed/>
    <w:rsid w:val="00402069"/>
    <w:rPr>
      <w:sz w:val="20"/>
      <w:szCs w:val="20"/>
    </w:rPr>
  </w:style>
  <w:style w:type="character" w:customStyle="1" w:styleId="KommentartextZchn">
    <w:name w:val="Kommentartext Zchn"/>
    <w:basedOn w:val="Absatz-Standardschriftart"/>
    <w:link w:val="Kommentartext"/>
    <w:semiHidden/>
    <w:rsid w:val="00402069"/>
    <w:rPr>
      <w:sz w:val="20"/>
      <w:szCs w:val="20"/>
    </w:rPr>
  </w:style>
  <w:style w:type="paragraph" w:styleId="Kommentarthema">
    <w:name w:val="annotation subject"/>
    <w:basedOn w:val="Kommentartext"/>
    <w:next w:val="Kommentartext"/>
    <w:link w:val="KommentarthemaZchn"/>
    <w:semiHidden/>
    <w:unhideWhenUsed/>
    <w:rsid w:val="00402069"/>
    <w:rPr>
      <w:b/>
      <w:bCs/>
    </w:rPr>
  </w:style>
  <w:style w:type="character" w:customStyle="1" w:styleId="KommentarthemaZchn">
    <w:name w:val="Kommentarthema Zchn"/>
    <w:basedOn w:val="KommentartextZchn"/>
    <w:link w:val="Kommentarthema"/>
    <w:semiHidden/>
    <w:rsid w:val="0040206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02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hyperlink" Target="http://www.schmalz.com/" TargetMode="Externa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webSettings" Target="webSettings.xml"/><Relationship Id="rId42"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settings" Target="settings.xml"/><Relationship Id="rId38" Type="http://schemas.openxmlformats.org/officeDocument/2006/relationships/hyperlink" Target="mailto:presse@schmalz.de"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customXml" Target="../customXml/item29.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styles" Target="styles.xml"/><Relationship Id="rId37" Type="http://schemas.openxmlformats.org/officeDocument/2006/relationships/image" Target="media/image1.jpeg"/><Relationship Id="rId40" Type="http://schemas.openxmlformats.org/officeDocument/2006/relationships/hyperlink" Target="https://www.schmalz.com/de/unternehmen/schmalz-aktuell/presse/"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numbering" Target="numbering.xml"/><Relationship Id="rId44"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footnotes" Target="footnotes.xml"/><Relationship Id="rId43"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Design1">
  <a:themeElements>
    <a:clrScheme name="Benutzerdefiniert 7">
      <a:dk1>
        <a:sysClr val="windowText" lastClr="000000"/>
      </a:dk1>
      <a:lt1>
        <a:srgbClr val="FFFFFF"/>
      </a:lt1>
      <a:dk2>
        <a:srgbClr val="FF6600"/>
      </a:dk2>
      <a:lt2>
        <a:srgbClr val="0050A0"/>
      </a:lt2>
      <a:accent1>
        <a:srgbClr val="467DBE"/>
      </a:accent1>
      <a:accent2>
        <a:srgbClr val="96C3E6"/>
      </a:accent2>
      <a:accent3>
        <a:srgbClr val="CDE0F2"/>
      </a:accent3>
      <a:accent4>
        <a:srgbClr val="505050"/>
      </a:accent4>
      <a:accent5>
        <a:srgbClr val="B4B4B4"/>
      </a:accent5>
      <a:accent6>
        <a:srgbClr val="F0F0F0"/>
      </a:accent6>
      <a:hlink>
        <a:srgbClr val="0050A0"/>
      </a:hlink>
      <a:folHlink>
        <a:srgbClr val="505050"/>
      </a:folHlink>
    </a:clrScheme>
    <a:fontScheme name="Schmalz">
      <a:majorFont>
        <a:latin typeface="Calibri"/>
        <a:ea typeface=""/>
        <a:cs typeface=""/>
      </a:majorFont>
      <a:minorFont>
        <a:latin typeface="Calibri"/>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5"/>
        </a:solidFill>
        <a:ln w="12700" cap="flat" cmpd="sng" algn="ctr">
          <a:noFill/>
          <a:prstDash val="solid"/>
          <a:round/>
          <a:headEnd type="none" w="med" len="med"/>
          <a:tailEnd type="none" w="med" len="med"/>
        </a:ln>
        <a:effectLst/>
      </a:spPr>
      <a:bodyPr vert="horz" wrap="square" lIns="91440" tIns="45720" rIns="91440" bIns="45720" numCol="1" rtlCol="0" anchor="t" anchorCtr="0" compatLnSpc="1">
        <a:prstTxWarp prst="textNoShape">
          <a:avLst/>
        </a:prstTxWarp>
      </a:bodyPr>
      <a:lstStyle/>
    </a:spDef>
    <a:lnDef>
      <a:spPr bwMode="auto">
        <a:xfrm>
          <a:off x="0" y="0"/>
          <a:ext cx="1" cy="1"/>
        </a:xfrm>
        <a:custGeom>
          <a:avLst/>
          <a:gdLst/>
          <a:ahLst/>
          <a:cxnLst/>
          <a:rect l="0" t="0" r="0" b="0"/>
          <a:pathLst/>
        </a:custGeom>
        <a:solidFill>
          <a:schemeClr val="accent1"/>
        </a:solidFill>
        <a:ln w="12700" cap="flat" cmpd="sng" algn="ctr">
          <a:solidFill>
            <a:schemeClr val="tx1"/>
          </a:solidFill>
          <a:prstDash val="solid"/>
          <a:round/>
          <a:headEnd type="none" w="med" len="med"/>
          <a:tailEnd type="none" w="med" len="med"/>
        </a:ln>
        <a:effectLst/>
        <a:extLst>
          <a:ext uri="{AF507438-7753-43E0-B8FC-AC1667EBCBE1}">
            <a14:hiddenEffects xmlns:a14="http://schemas.microsoft.com/office/drawing/2010/main">
              <a:effectLst>
                <a:outerShdw dist="35921" dir="2700000" algn="ctr" rotWithShape="0">
                  <a:schemeClr val="bg2"/>
                </a:outerShdw>
              </a:effectLst>
            </a14:hiddenEffects>
          </a:ext>
        </a:extLst>
      </a:spPr>
      <a:bodyPr vert="horz" wrap="square" lIns="91440" tIns="45720" rIns="91440" bIns="45720" numCol="1" anchor="t" anchorCtr="0" compatLnSpc="1">
        <a:prstTxWarp prst="textNoShape">
          <a:avLst/>
        </a:prstTxWarp>
      </a:bodyPr>
      <a:lstStyle>
        <a:defPPr marL="0" marR="0" indent="0" algn="l" defTabSz="914400" rtl="0" eaLnBrk="0" fontAlgn="base" latinLnBrk="0" hangingPunct="0">
          <a:lnSpc>
            <a:spcPct val="100000"/>
          </a:lnSpc>
          <a:spcBef>
            <a:spcPct val="0"/>
          </a:spcBef>
          <a:spcAft>
            <a:spcPct val="0"/>
          </a:spcAft>
          <a:buClrTx/>
          <a:buSzTx/>
          <a:buFontTx/>
          <a:buNone/>
          <a:tabLst/>
          <a:defRPr kumimoji="0" lang="de-DE" sz="1200" b="0" i="0" u="none" strike="noStrike" cap="none" normalizeH="0" baseline="0" smtClean="0">
            <a:ln>
              <a:noFill/>
            </a:ln>
            <a:solidFill>
              <a:schemeClr val="tx1"/>
            </a:solidFill>
            <a:effectLst/>
            <a:latin typeface="Arial" charset="0"/>
          </a:defRPr>
        </a:defPPr>
      </a:lstStyle>
    </a:lnDef>
  </a:objectDefaults>
  <a:extraClrSchemeLst>
    <a:extraClrScheme>
      <a:clrScheme name="Standarddesign 1">
        <a:dk1>
          <a:srgbClr val="000000"/>
        </a:dk1>
        <a:lt1>
          <a:srgbClr val="FFFFFF"/>
        </a:lt1>
        <a:dk2>
          <a:srgbClr val="000000"/>
        </a:dk2>
        <a:lt2>
          <a:srgbClr val="808080"/>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Standarddesign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00"/>
        </a:hlink>
        <a:folHlink>
          <a:srgbClr val="969696"/>
        </a:folHlink>
      </a:clrScheme>
      <a:clrMap bg1="dk2" tx1="lt1" bg2="dk1" tx2="lt2" accent1="accent1" accent2="accent2" accent3="accent3" accent4="accent4" accent5="accent5" accent6="accent6" hlink="hlink" folHlink="folHlink"/>
    </a:extraClrScheme>
    <a:extraClrScheme>
      <a:clrScheme name="Standarddesign 3">
        <a:dk1>
          <a:srgbClr val="000000"/>
        </a:dk1>
        <a:lt1>
          <a:srgbClr val="FFFFCC"/>
        </a:lt1>
        <a:dk2>
          <a:srgbClr val="808000"/>
        </a:dk2>
        <a:lt2>
          <a:srgbClr val="666633"/>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Standarddesign 4">
        <a:dk1>
          <a:srgbClr val="000000"/>
        </a:dk1>
        <a:lt1>
          <a:srgbClr val="FFFFFF"/>
        </a:lt1>
        <a:dk2>
          <a:srgbClr val="000000"/>
        </a:dk2>
        <a:lt2>
          <a:srgbClr val="333333"/>
        </a:lt2>
        <a:accent1>
          <a:srgbClr val="DDDDDD"/>
        </a:accent1>
        <a:accent2>
          <a:srgbClr val="808080"/>
        </a:accent2>
        <a:accent3>
          <a:srgbClr val="FFFFFF"/>
        </a:accent3>
        <a:accent4>
          <a:srgbClr val="000000"/>
        </a:accent4>
        <a:accent5>
          <a:srgbClr val="EBEBEB"/>
        </a:accent5>
        <a:accent6>
          <a:srgbClr val="737373"/>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Standarddesign 5">
        <a:dk1>
          <a:srgbClr val="000000"/>
        </a:dk1>
        <a:lt1>
          <a:srgbClr val="FFFFFF"/>
        </a:lt1>
        <a:dk2>
          <a:srgbClr val="000000"/>
        </a:dk2>
        <a:lt2>
          <a:srgbClr val="808080"/>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Standarddesign 6">
        <a:dk1>
          <a:srgbClr val="000000"/>
        </a:dk1>
        <a:lt1>
          <a:srgbClr val="FFFFFF"/>
        </a:lt1>
        <a:dk2>
          <a:srgbClr val="000000"/>
        </a:dk2>
        <a:lt2>
          <a:srgbClr val="808080"/>
        </a:lt2>
        <a:accent1>
          <a:srgbClr val="C0C0C0"/>
        </a:accent1>
        <a:accent2>
          <a:srgbClr val="0066FF"/>
        </a:accent2>
        <a:accent3>
          <a:srgbClr val="FFFFFF"/>
        </a:accent3>
        <a:accent4>
          <a:srgbClr val="000000"/>
        </a:accent4>
        <a:accent5>
          <a:srgbClr val="DCDCDC"/>
        </a:accent5>
        <a:accent6>
          <a:srgbClr val="005CE7"/>
        </a:accent6>
        <a:hlink>
          <a:srgbClr val="FF0000"/>
        </a:hlink>
        <a:folHlink>
          <a:srgbClr val="009900"/>
        </a:folHlink>
      </a:clrScheme>
      <a:clrMap bg1="lt1" tx1="dk1" bg2="lt2" tx2="dk2" accent1="accent1" accent2="accent2" accent3="accent3" accent4="accent4" accent5="accent5" accent6="accent6" hlink="hlink" folHlink="folHlink"/>
    </a:extraClrScheme>
    <a:extraClrScheme>
      <a:clrScheme name="Standarddesign 7">
        <a:dk1>
          <a:srgbClr val="000000"/>
        </a:dk1>
        <a:lt1>
          <a:srgbClr val="FFFFFF"/>
        </a:lt1>
        <a:dk2>
          <a:srgbClr val="000000"/>
        </a:dk2>
        <a:lt2>
          <a:srgbClr val="808080"/>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NovaPath_docOwner>JMU</NovaPath_docOwner>
</file>

<file path=customXml/item10.xml><?xml version="1.0" encoding="utf-8"?>
<ct:contentTypeSchema xmlns:ct="http://schemas.microsoft.com/office/2006/metadata/contentType" xmlns:ma="http://schemas.microsoft.com/office/2006/metadata/properties/metaAttributes" ct:_="" ma:_="" ma:contentTypeName="Dokument" ma:contentTypeID="0x010100F262C4F3FE7A0A47B4A00BB4238EE4F1" ma:contentTypeVersion="1" ma:contentTypeDescription="Ein neues Dokument erstellen." ma:contentTypeScope="" ma:versionID="e6d11aa89de5ad5a9adf776d459d69cd">
  <xsd:schema xmlns:xsd="http://www.w3.org/2001/XMLSchema" xmlns:xs="http://www.w3.org/2001/XMLSchema" xmlns:p="http://schemas.microsoft.com/office/2006/metadata/properties" xmlns:ns1="http://schemas.microsoft.com/sharepoint/v3" targetNamespace="http://schemas.microsoft.com/office/2006/metadata/properties" ma:root="true" ma:fieldsID="bcc17df15c66a81ee376db90732ad1c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Geplantes Startdatum" ma:description="" ma:hidden="true" ma:internalName="PublishingStartDate">
      <xsd:simpleType>
        <xsd:restriction base="dms:Unknown"/>
      </xsd:simpleType>
    </xsd:element>
    <xsd:element name="PublishingExpirationDate" ma:index="9" nillable="true" ma:displayName="Geplantes Enddatum"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nXeGKudETKPeaCNGFh5iTSI5UodjD94nh7U7VklxY>c/Zo6orRYwp7P6X0eZG300yeRwcDfdtOXe/ft4B0ag594lBbzvG1vxLw8aY1F6V4YqnDYRcCoW5z5pg3dIf2ww==</nXeGKudETKPeaCNGFh5iTSI5UodjD94nh7U7VklxY>
</file>

<file path=customXml/item12.xml><?xml version="1.0" encoding="utf-8"?>
<NovaPath_docClassDate>01/17/2018 10:20:35</NovaPath_docClassDate>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NovaPath_docAuthor>Kirgis Janina - J. Schmalz GmbH</NovaPath_docAuthor>
</file>

<file path=customXml/item15.xml><?xml version="1.0" encoding="utf-8"?>
<nXeGKudETKPeaCNGFh5i2aVdoOsLYjULCdH7T707tDyRRmguot4fEcJ2iD6f9>2lT5zb1hzEGYue/Kozp+jg==</nXeGKudETKPeaCNGFh5i2aVdoOsLYjULCdH7T707tDyRRmguot4fEcJ2iD6f9>
</file>

<file path=customXml/item16.xml><?xml version="1.0" encoding="utf-8"?>
<nXeGKudETKPeaCNGFh5ix5fP7fSWtl37NIroXmZN38TajkfZeW3Vf6bvmNn8>vEgvPTz9m4UG6jzs6rV8Jyxr4DZ2oZwxGTH+8JhCSzk9m3USFp2JID/aAvbuT7bU</nXeGKudETKPeaCNGFh5ix5fP7fSWtl37NIroXmZN38TajkfZeW3Vf6bvmNn8>
</file>

<file path=customXml/item17.xml><?xml version="1.0" encoding="utf-8"?>
<NovaPath_docClassID>F1D0ED9ECC474319B483A27BB35A2315</NovaPath_docClassID>
</file>

<file path=customXml/item18.xml><?xml version="1.0" encoding="utf-8"?>
<NovaPath_docName>S:\Dienstleister\Marketing\01_UKOM\01_Pressearbeit\01_Fachpresse\05_Organisation\_Vorlagen\2022-10_Schmalz_Pressevorlage_DE.docx</NovaPath_docName>
</file>

<file path=customXml/item19.xml><?xml version="1.0" encoding="utf-8"?>
<nXeGKudETKPeaCNGFh5i5IeuWeXv6XDtePDOrtUSOqWwmvYa7PTRiLQvIZkriN4zFxEJfkpx7yiWurrFRQTw>wET7z3APVwWLb5suGR4vTtZrarbu8vv5kPcS6N5bl58=</nXeGKudETKPeaCNGFh5i5IeuWeXv6XDtePDOrtUSOqWwmvYa7PTRiLQvIZkriN4zFxEJfkpx7yiWurrFRQTw>
</file>

<file path=customXml/item2.xml><?xml version="1.0" encoding="utf-8"?>
<NovaPath_docID>6DHXW1XAN3GQ7FVBEECBMHLLGG</NovaPath_docID>
</file>

<file path=customXml/item20.xml><?xml version="1.0" encoding="utf-8"?>
<nXeGKudETKPeaCNGFh5ix5fP7fSWtl37NIroXmYBQsS1cecqKZfGozr8W9iy>jZQU/cRgnLn0kL2ubiPSdRV1LfSfPNIS9vr2rK9ie0QOHxhN4V+qS1nbo474ijm8asTctMv1QE4vnklBH31t5Fuvyvr5AOtT/svpb9hgnbM=</nXeGKudETKPeaCNGFh5ix5fP7fSWtl37NIroXmYBQsS1cecqKZfGozr8W9iy>
</file>

<file path=customXml/item21.xml><?xml version="1.0" encoding="utf-8"?>
<NovaPath_versionInfo>4.5.0.11812</NovaPath_versionInfo>
</file>

<file path=customXml/item22.xml><?xml version="1.0" encoding="utf-8"?>
<nXeGKudETKPeaCNGFh5i0BGlH9ci87cLWvMx3DlPzuAPh2gY9s703zKUS7uW>Cxd2sT7cuC5N3p6gNPCBZAEPkPoGFzpTQNJAHsCBt5IWpzelJ0ujNfsrxWO+3K3dEa7HntCclK74CotxqKZvW3yFIL5qQrk4+i2SOpIDV2A0Ez/Ys3zN6jBvF4mobe1FvGvyBNLEmj2gR7pUKz3zE5Nja7cPSmZIvnYEaXOs9H6dAKc6aiLFrtOA/zOzDtzbvevOW/fvdpPUruZi5fV13qLgfcOI3dCVBrHY6jtTIMlfSsOgngj3NScfrjk77sxV</nXeGKudETKPeaCNGFh5i0BGlH9ci87cLWvMx3DlPzuAPh2gY9s703zKUS7uW>
</file>

<file path=customXml/item23.xml><?xml version="1.0" encoding="utf-8"?>
<NovaPath_docPath>S:\Dienstleister\Marketing\01_UKOM\01_Pressearbeit\01_Fachpresse\05_Organisation\_Vorlagen</NovaPath_docPath>
</file>

<file path=customXml/item24.xml><?xml version="1.0" encoding="utf-8"?>
<nXeGKudETKPeaCNGFh5iKXsadLDxTRe0xbrxgS3asWaSdlBY0sLX5pYu7jLmo>ThzqeKJOG1EreRcWeEC65caud/gujON1y4q1hEGazE0uNW2EyiVr05AFk3GC8dWJlfof9tuEYBCqXgKBE5Rd0E/aZhjV6hqQDk6LuS88nXE=</nXeGKudETKPeaCNGFh5iKXsadLDxTRe0xbrxgS3asWaSdlBY0sLX5pYu7jLmo>
</file>

<file path=customXml/item25.xml><?xml version="1.0" encoding="utf-8"?>
<nXeGKudETKPeaCNGFh5i8sltj09I1nJ8AlBUytNZ1Ehih9jnZMZtoeNI9UMZ5>X9notRFHjyaXQYlBGT8kvsDBY5W+5TEZTvqUtJjZ9Aw=</nXeGKudETKPeaCNGFh5i8sltj09I1nJ8AlBUytNZ1Ehih9jnZMZtoeNI9UMZ5>
</file>

<file path=customXml/item26.xml><?xml version="1.0" encoding="utf-8"?>
<NovaPath_docClass>PUBLIC</NovaPath_docClass>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NovaPath_baseApplication>Microsoft Word</NovaPath_baseApplication>
</file>

<file path=customXml/item29.xml><?xml version="1.0" encoding="utf-8"?>
<NovaPath_DocInfoFromAfterSave>False</NovaPath_DocInfoFromAfterSave>
</file>

<file path=customXml/item3.xml><?xml version="1.0" encoding="utf-8"?>
<nXeGKudETKPeaCNGFh5i5JKJLOqxkMZWB6LsYfMaI9RtbpE1WkCpXazESWus5B>u5AdY8o8DcjFbFPROflxGrk5Fqhn7R7YJKbp4KbE62ZliSLLrvk8NrZpI6wBtQ953iAaEk3gDAadcEm9w01Kig==</nXeGKudETKPeaCNGFh5i5JKJLOqxkMZWB6LsYfMaI9RtbpE1WkCpXazESWus5B>
</file>

<file path=customXml/item30.xml><?xml version="1.0" encoding="utf-8"?>
<nXeGKudETKPeaCNGFh5iy53cs4YTjZQd4Re9Stbph13fJwq3N1dxRUwfkxNCzGbktJIbKf2q8mQyY814Q>GoBUcRQBOiWNv9cnqy33XA==</nXeGKudETKPeaCNGFh5iy53cs4YTjZQd4Re9Stbph13fJwq3N1dxRUwfkxNCzGbktJIbKf2q8mQyY814Q>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5.xml><?xml version="1.0" encoding="utf-8"?>
<nXeGKudETKPeaCNGFh5ix5fP7fSWtl37NIroXmZyHIynb9qBde2n67FOJFV2>05DTrmps/zW8w51jdJ10SA==</nXeGKudETKPeaCNGFh5ix5fP7fSWtl37NIroXmZyHIynb9qBde2n67FOJFV2>
</file>

<file path=customXml/item6.xml><?xml version="1.0" encoding="utf-8"?>
<nXeGKudETKPeaCNGFh5i7cKyawAjgyQn9gyiebCxx1jD9eHXSWW9Lib2F1j9>Cxd2sT7cuC5N3p6gNPCBZAEPkPoGFzpTQNJAHsCBt5IWpzelJ0ujNfsrxWO+3K3dEa7HntCclK74CotxqKZvW3yFIL5qQrk4+i2SOpIDV2A0Ez/Ys3zN6jBvF4mobe1FvGvyBNLEmj2gR7pUKz3zE5Nja7cPSmZIvnYEaXOs9H6dAKc6aiLFrtOA/zOzDtzbvevOW/fvdpPUruZi5fV13qLgfcOI3dCVBrHY6jtTIMkjWX9dmy4loO4ZKSv+HF+HF8ZNijgvvFMoSDsF/6EvYIQ+SZl/34ZXpAyUUCN/dzkquEuAPv7WoYeI5bH3LbljbQB/gNKa25BmnCVCGt3uVzRmiiW2q7EyCXXMW9n4d5A=</nXeGKudETKPeaCNGFh5i7cKyawAjgyQn9gyiebCxx1jD9eHXSWW9Lib2F1j9>
</file>

<file path=customXml/item7.xml><?xml version="1.0" encoding="utf-8"?>
<NovaPath_docIDOld>2KKM0QXTQGBTRW4CT3GV49O9Z4</NovaPath_docIDOld>
</file>

<file path=customXml/item8.xml><?xml version="1.0" encoding="utf-8"?>
<NovaPath_tenantID>6CD58FDF-FFEB-47F6-A5C7-9BA2A0A0B902</NovaPath_tenantID>
</file>

<file path=customXml/item9.xml><?xml version="1.0" encoding="utf-8"?>
<nXeGKudETKPeaCNGFh5iyLk1gcWWJqTgFQk8wGFUmjFC0m6hdwbr2zDsrBNVqK>MDw/VsQx8d22UlAQIWS4EcnLotCEUJr8jYynOJ5KnoC2iPQqWeh4IDuIvn63ZBNRdeXrRg3OOnZWoZWBw5cCgw==</nXeGKudETKPeaCNGFh5iyLk1gcWWJqTgFQk8wGFUmjFC0m6hdwbr2zDsrBNVqK>
</file>

<file path=customXml/itemProps1.xml><?xml version="1.0" encoding="utf-8"?>
<ds:datastoreItem xmlns:ds="http://schemas.openxmlformats.org/officeDocument/2006/customXml" ds:itemID="{BFE3A8A4-506D-4DD4-A7BA-48338B763890}">
  <ds:schemaRefs/>
</ds:datastoreItem>
</file>

<file path=customXml/itemProps10.xml><?xml version="1.0" encoding="utf-8"?>
<ds:datastoreItem xmlns:ds="http://schemas.openxmlformats.org/officeDocument/2006/customXml" ds:itemID="{4520FBA3-5D1B-46DD-9677-6E6B9777D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AF73472B-E020-4FF8-9F01-C6A2360002C2}">
  <ds:schemaRefs/>
</ds:datastoreItem>
</file>

<file path=customXml/itemProps12.xml><?xml version="1.0" encoding="utf-8"?>
<ds:datastoreItem xmlns:ds="http://schemas.openxmlformats.org/officeDocument/2006/customXml" ds:itemID="{A01BCE6B-A139-4D62-A226-D71C45D44F04}">
  <ds:schemaRefs/>
</ds:datastoreItem>
</file>

<file path=customXml/itemProps13.xml><?xml version="1.0" encoding="utf-8"?>
<ds:datastoreItem xmlns:ds="http://schemas.openxmlformats.org/officeDocument/2006/customXml" ds:itemID="{8D21583A-670A-4995-BE9B-B014A93DE141}">
  <ds:schemaRefs>
    <ds:schemaRef ds:uri="http://schemas.microsoft.com/sharepoint/v3/contenttype/forms"/>
  </ds:schemaRefs>
</ds:datastoreItem>
</file>

<file path=customXml/itemProps14.xml><?xml version="1.0" encoding="utf-8"?>
<ds:datastoreItem xmlns:ds="http://schemas.openxmlformats.org/officeDocument/2006/customXml" ds:itemID="{16C31E61-E920-45F4-8494-248C627B4090}">
  <ds:schemaRefs/>
</ds:datastoreItem>
</file>

<file path=customXml/itemProps15.xml><?xml version="1.0" encoding="utf-8"?>
<ds:datastoreItem xmlns:ds="http://schemas.openxmlformats.org/officeDocument/2006/customXml" ds:itemID="{1149E5F8-8439-437A-B238-33CFA5B0E039}">
  <ds:schemaRefs/>
</ds:datastoreItem>
</file>

<file path=customXml/itemProps16.xml><?xml version="1.0" encoding="utf-8"?>
<ds:datastoreItem xmlns:ds="http://schemas.openxmlformats.org/officeDocument/2006/customXml" ds:itemID="{43B84F16-2F33-4716-9861-26339B033C83}">
  <ds:schemaRefs/>
</ds:datastoreItem>
</file>

<file path=customXml/itemProps17.xml><?xml version="1.0" encoding="utf-8"?>
<ds:datastoreItem xmlns:ds="http://schemas.openxmlformats.org/officeDocument/2006/customXml" ds:itemID="{708C24A3-42A9-445E-8C8F-C2C4D27A59D5}">
  <ds:schemaRefs/>
</ds:datastoreItem>
</file>

<file path=customXml/itemProps18.xml><?xml version="1.0" encoding="utf-8"?>
<ds:datastoreItem xmlns:ds="http://schemas.openxmlformats.org/officeDocument/2006/customXml" ds:itemID="{E5E0CFBF-FF3E-4AA3-A00C-34C8B9C00D89}">
  <ds:schemaRefs/>
</ds:datastoreItem>
</file>

<file path=customXml/itemProps19.xml><?xml version="1.0" encoding="utf-8"?>
<ds:datastoreItem xmlns:ds="http://schemas.openxmlformats.org/officeDocument/2006/customXml" ds:itemID="{0CA3D0A9-E338-4EA0-8CB7-3C91C0D770A8}">
  <ds:schemaRefs/>
</ds:datastoreItem>
</file>

<file path=customXml/itemProps2.xml><?xml version="1.0" encoding="utf-8"?>
<ds:datastoreItem xmlns:ds="http://schemas.openxmlformats.org/officeDocument/2006/customXml" ds:itemID="{7640AC5B-FE50-4CE0-8579-19175060FBA1}">
  <ds:schemaRefs/>
</ds:datastoreItem>
</file>

<file path=customXml/itemProps20.xml><?xml version="1.0" encoding="utf-8"?>
<ds:datastoreItem xmlns:ds="http://schemas.openxmlformats.org/officeDocument/2006/customXml" ds:itemID="{AFBC3B2B-E194-4041-90DC-E2DA0237A576}">
  <ds:schemaRefs/>
</ds:datastoreItem>
</file>

<file path=customXml/itemProps21.xml><?xml version="1.0" encoding="utf-8"?>
<ds:datastoreItem xmlns:ds="http://schemas.openxmlformats.org/officeDocument/2006/customXml" ds:itemID="{2BD038DE-8C2E-4B17-913D-EEB23CDBB06D}">
  <ds:schemaRefs/>
</ds:datastoreItem>
</file>

<file path=customXml/itemProps22.xml><?xml version="1.0" encoding="utf-8"?>
<ds:datastoreItem xmlns:ds="http://schemas.openxmlformats.org/officeDocument/2006/customXml" ds:itemID="{3C684754-B222-4E63-9792-6B4C04D1BC80}">
  <ds:schemaRefs/>
</ds:datastoreItem>
</file>

<file path=customXml/itemProps23.xml><?xml version="1.0" encoding="utf-8"?>
<ds:datastoreItem xmlns:ds="http://schemas.openxmlformats.org/officeDocument/2006/customXml" ds:itemID="{DC413327-C9D0-44BF-8A7A-58D75EFBFD67}">
  <ds:schemaRefs/>
</ds:datastoreItem>
</file>

<file path=customXml/itemProps24.xml><?xml version="1.0" encoding="utf-8"?>
<ds:datastoreItem xmlns:ds="http://schemas.openxmlformats.org/officeDocument/2006/customXml" ds:itemID="{52894489-D53B-43A7-BDB4-22E69B21DE90}">
  <ds:schemaRefs/>
</ds:datastoreItem>
</file>

<file path=customXml/itemProps25.xml><?xml version="1.0" encoding="utf-8"?>
<ds:datastoreItem xmlns:ds="http://schemas.openxmlformats.org/officeDocument/2006/customXml" ds:itemID="{0AEC2519-6603-425F-B583-2F9D922875F4}">
  <ds:schemaRefs/>
</ds:datastoreItem>
</file>

<file path=customXml/itemProps26.xml><?xml version="1.0" encoding="utf-8"?>
<ds:datastoreItem xmlns:ds="http://schemas.openxmlformats.org/officeDocument/2006/customXml" ds:itemID="{5EEAAD6D-A650-461C-B984-51120E325335}">
  <ds:schemaRefs/>
</ds:datastoreItem>
</file>

<file path=customXml/itemProps27.xml><?xml version="1.0" encoding="utf-8"?>
<ds:datastoreItem xmlns:ds="http://schemas.openxmlformats.org/officeDocument/2006/customXml" ds:itemID="{5E3F44A3-41D7-453B-98F8-EE594A4B5715}">
  <ds:schemaRefs>
    <ds:schemaRef ds:uri="http://schemas.openxmlformats.org/officeDocument/2006/bibliography"/>
  </ds:schemaRefs>
</ds:datastoreItem>
</file>

<file path=customXml/itemProps28.xml><?xml version="1.0" encoding="utf-8"?>
<ds:datastoreItem xmlns:ds="http://schemas.openxmlformats.org/officeDocument/2006/customXml" ds:itemID="{82B8F0A2-C9E8-4A83-8860-26CF7C893B41}">
  <ds:schemaRefs/>
</ds:datastoreItem>
</file>

<file path=customXml/itemProps29.xml><?xml version="1.0" encoding="utf-8"?>
<ds:datastoreItem xmlns:ds="http://schemas.openxmlformats.org/officeDocument/2006/customXml" ds:itemID="{58309C54-F444-421F-9ADC-6E0C46C622C8}">
  <ds:schemaRefs/>
</ds:datastoreItem>
</file>

<file path=customXml/itemProps3.xml><?xml version="1.0" encoding="utf-8"?>
<ds:datastoreItem xmlns:ds="http://schemas.openxmlformats.org/officeDocument/2006/customXml" ds:itemID="{A8F153C3-AE7D-484D-92E3-CBA23D21A35D}">
  <ds:schemaRefs/>
</ds:datastoreItem>
</file>

<file path=customXml/itemProps30.xml><?xml version="1.0" encoding="utf-8"?>
<ds:datastoreItem xmlns:ds="http://schemas.openxmlformats.org/officeDocument/2006/customXml" ds:itemID="{C70AA932-2F54-4302-B2DA-25FB9F8D0451}">
  <ds:schemaRefs/>
</ds:datastoreItem>
</file>

<file path=customXml/itemProps4.xml><?xml version="1.0" encoding="utf-8"?>
<ds:datastoreItem xmlns:ds="http://schemas.openxmlformats.org/officeDocument/2006/customXml" ds:itemID="{7DFA9926-2DC2-4A42-9D2E-7B7120608797}">
  <ds:schemaRefs>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5.xml><?xml version="1.0" encoding="utf-8"?>
<ds:datastoreItem xmlns:ds="http://schemas.openxmlformats.org/officeDocument/2006/customXml" ds:itemID="{AE9FFFA1-F97E-424F-A822-C56767C05D43}">
  <ds:schemaRefs/>
</ds:datastoreItem>
</file>

<file path=customXml/itemProps6.xml><?xml version="1.0" encoding="utf-8"?>
<ds:datastoreItem xmlns:ds="http://schemas.openxmlformats.org/officeDocument/2006/customXml" ds:itemID="{333867B5-654F-4B7F-A4D2-1A539E8D163E}">
  <ds:schemaRefs/>
</ds:datastoreItem>
</file>

<file path=customXml/itemProps7.xml><?xml version="1.0" encoding="utf-8"?>
<ds:datastoreItem xmlns:ds="http://schemas.openxmlformats.org/officeDocument/2006/customXml" ds:itemID="{CCEDA8A5-42AA-4C9B-ADA8-FAB6CB467CE9}">
  <ds:schemaRefs/>
</ds:datastoreItem>
</file>

<file path=customXml/itemProps8.xml><?xml version="1.0" encoding="utf-8"?>
<ds:datastoreItem xmlns:ds="http://schemas.openxmlformats.org/officeDocument/2006/customXml" ds:itemID="{0011307F-049B-4B6E-A5E3-34184BF43FEF}">
  <ds:schemaRefs/>
</ds:datastoreItem>
</file>

<file path=customXml/itemProps9.xml><?xml version="1.0" encoding="utf-8"?>
<ds:datastoreItem xmlns:ds="http://schemas.openxmlformats.org/officeDocument/2006/customXml" ds:itemID="{3928E272-DFEB-432D-BE42-3D4225F0C62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560</Words>
  <Characters>4350</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Schmalz</vt:lpstr>
    </vt:vector>
  </TitlesOfParts>
  <Company>J. Schmalz GmbH</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Schmalz</dc:title>
  <dc:subject>Vakuum-Technik</dc:subject>
  <dc:creator>Geiß-Grimm Noelle - J. Schmalz GmbH</dc:creator>
  <cp:keywords>PUBLIC</cp:keywords>
  <cp:lastModifiedBy>Geiß-Grimm Noelle - J. Schmalz GmbH</cp:lastModifiedBy>
  <cp:revision>4</cp:revision>
  <cp:lastPrinted>2017-03-07T09:59:00Z</cp:lastPrinted>
  <dcterms:created xsi:type="dcterms:W3CDTF">2024-06-13T12:53:00Z</dcterms:created>
  <dcterms:modified xsi:type="dcterms:W3CDTF">2025-05-16T07:31:00Z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0x010100F262C4F3FE7A0A47B4A00BB4238EE4F1</vt:lpwstr>
  </property>
  <property fmtid="{D5CDD505-2E9C-101B-9397-08002B2CF9AE}" pid="3" name="Dokumenten-ID">
    <vt:lpwstr>6DHXW1XAN3GQ7FVBEECBMHLLGG</vt:lpwstr>
  </property>
  <property fmtid="{D5CDD505-2E9C-101B-9397-08002B2CF9AE}" pid="4" name="NovaPath-Version">
    <vt:lpwstr>4.5.0.11812</vt:lpwstr>
  </property>
  <property fmtid="{D5CDD505-2E9C-101B-9397-08002B2CF9AE}" pid="5" name="Klassifizierung">
    <vt:lpwstr>PUBLIC</vt:lpwstr>
  </property>
  <property fmtid="{D5CDD505-2E9C-101B-9397-08002B2CF9AE}" pid="6" name="Klassifizierungs-Id">
    <vt:lpwstr>F1D0ED9ECC474319B483A27BB35A2315</vt:lpwstr>
  </property>
  <property fmtid="{D5CDD505-2E9C-101B-9397-08002B2CF9AE}" pid="7" name="Klassifizierungs-Datum">
    <vt:lpwstr>01/17/2018 10:20:35</vt:lpwstr>
  </property>
  <property fmtid="{D5CDD505-2E9C-101B-9397-08002B2CF9AE}" pid="8" name="MSIP_Label_3c8feb63-d810-4950-9fd6-b7cfc8bc6ecc_Enabled">
    <vt:lpwstr>true</vt:lpwstr>
  </property>
  <property fmtid="{D5CDD505-2E9C-101B-9397-08002B2CF9AE}" pid="9" name="MSIP_Label_3c8feb63-d810-4950-9fd6-b7cfc8bc6ecc_SetDate">
    <vt:lpwstr>2024-06-13T12:28:38Z</vt:lpwstr>
  </property>
  <property fmtid="{D5CDD505-2E9C-101B-9397-08002B2CF9AE}" pid="10" name="MSIP_Label_3c8feb63-d810-4950-9fd6-b7cfc8bc6ecc_Method">
    <vt:lpwstr>Privileged</vt:lpwstr>
  </property>
  <property fmtid="{D5CDD505-2E9C-101B-9397-08002B2CF9AE}" pid="11" name="MSIP_Label_3c8feb63-d810-4950-9fd6-b7cfc8bc6ecc_Name">
    <vt:lpwstr>PUBLIC</vt:lpwstr>
  </property>
  <property fmtid="{D5CDD505-2E9C-101B-9397-08002B2CF9AE}" pid="12" name="MSIP_Label_3c8feb63-d810-4950-9fd6-b7cfc8bc6ecc_SiteId">
    <vt:lpwstr>fed5a3da-61db-4e70-917c-d110b41e0388</vt:lpwstr>
  </property>
  <property fmtid="{D5CDD505-2E9C-101B-9397-08002B2CF9AE}" pid="13" name="MSIP_Label_3c8feb63-d810-4950-9fd6-b7cfc8bc6ecc_ActionId">
    <vt:lpwstr>4b744127-af1a-44ac-9ca0-af33af6c1e76</vt:lpwstr>
  </property>
  <property fmtid="{D5CDD505-2E9C-101B-9397-08002B2CF9AE}" pid="14" name="MSIP_Label_3c8feb63-d810-4950-9fd6-b7cfc8bc6ecc_ContentBits">
    <vt:lpwstr>0</vt:lpwstr>
  </property>
</Properties>
</file>